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AD00" w14:textId="77777777" w:rsidR="000D4581" w:rsidRDefault="000D4581" w:rsidP="000D4581">
      <w:pPr>
        <w:rPr>
          <w:rFonts w:asciiTheme="minorHAnsi" w:hAnsiTheme="minorHAnsi"/>
          <w:b/>
          <w:szCs w:val="22"/>
          <w:lang w:eastAsia="hr-HR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356"/>
        <w:gridCol w:w="2840"/>
        <w:gridCol w:w="2126"/>
      </w:tblGrid>
      <w:tr w:rsidR="000D4581" w14:paraId="718F033B" w14:textId="77777777" w:rsidTr="000D4581">
        <w:tc>
          <w:tcPr>
            <w:tcW w:w="4356" w:type="dxa"/>
            <w:vAlign w:val="center"/>
            <w:hideMark/>
          </w:tcPr>
          <w:p w14:paraId="1CD34884" w14:textId="202284FE" w:rsidR="000D4581" w:rsidRDefault="000D4581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2F38459C" wp14:editId="7C172CE7">
                  <wp:extent cx="2621280" cy="647700"/>
                  <wp:effectExtent l="0" t="0" r="7620" b="0"/>
                  <wp:docPr id="4969978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28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7091B76F" w14:textId="77777777" w:rsidR="000D4581" w:rsidRDefault="000D4581">
            <w:pPr>
              <w:autoSpaceDE w:val="0"/>
              <w:autoSpaceDN w:val="0"/>
              <w:adjustRightInd w:val="0"/>
              <w:rPr>
                <w:rFonts w:ascii="Gill Sans MT" w:eastAsia="Calibri" w:hAnsi="Gill Sans MT" w:cs="TyponineSans Pro Bold"/>
                <w:b/>
                <w:bCs/>
                <w:color w:val="008000"/>
                <w:sz w:val="10"/>
                <w:szCs w:val="10"/>
              </w:rPr>
            </w:pPr>
          </w:p>
          <w:p w14:paraId="2137021B" w14:textId="77777777" w:rsidR="000D4581" w:rsidRDefault="000D4581">
            <w:pPr>
              <w:autoSpaceDE w:val="0"/>
              <w:autoSpaceDN w:val="0"/>
              <w:adjustRightInd w:val="0"/>
              <w:rPr>
                <w:rFonts w:ascii="Gill Sans MT" w:eastAsia="Calibri" w:hAnsi="Gill Sans MT" w:cs="TyponineSans Pro Bold"/>
                <w:b/>
                <w:bCs/>
                <w:color w:val="008000"/>
                <w:sz w:val="10"/>
                <w:szCs w:val="10"/>
              </w:rPr>
            </w:pPr>
          </w:p>
          <w:p w14:paraId="5658851F" w14:textId="77777777" w:rsidR="000D4581" w:rsidRDefault="000D4581">
            <w:pPr>
              <w:autoSpaceDE w:val="0"/>
              <w:autoSpaceDN w:val="0"/>
              <w:adjustRightInd w:val="0"/>
              <w:rPr>
                <w:rFonts w:ascii="Gill Sans MT" w:eastAsia="Calibri" w:hAnsi="Gill Sans MT" w:cs="TyponineSans Pro Bold"/>
                <w:color w:val="008000"/>
                <w:sz w:val="10"/>
                <w:szCs w:val="10"/>
              </w:rPr>
            </w:pPr>
            <w:r>
              <w:rPr>
                <w:rFonts w:ascii="Gill Sans MT" w:eastAsia="Calibri" w:hAnsi="Gill Sans MT" w:cs="TyponineSans Pro Bold"/>
                <w:b/>
                <w:bCs/>
                <w:color w:val="61C050"/>
                <w:sz w:val="10"/>
                <w:szCs w:val="10"/>
              </w:rPr>
              <w:t>JAVNA</w:t>
            </w:r>
            <w:r>
              <w:rPr>
                <w:rFonts w:ascii="Gill Sans MT" w:eastAsia="Calibri" w:hAnsi="Gill Sans MT" w:cs="TyponineSans Pro Bold"/>
                <w:b/>
                <w:bCs/>
                <w:color w:val="008000"/>
                <w:sz w:val="10"/>
                <w:szCs w:val="10"/>
              </w:rPr>
              <w:t xml:space="preserve"> </w:t>
            </w:r>
            <w:r>
              <w:rPr>
                <w:rFonts w:ascii="Gill Sans MT" w:eastAsia="Calibri" w:hAnsi="Gill Sans MT" w:cs="TyponineSans Pro Bold"/>
                <w:b/>
                <w:bCs/>
                <w:color w:val="61C050"/>
                <w:sz w:val="10"/>
                <w:szCs w:val="10"/>
              </w:rPr>
              <w:t>USTANOVA ‘PARK PRIRODE MEDVEDNICA’</w:t>
            </w:r>
          </w:p>
          <w:p w14:paraId="1CF7E2C3" w14:textId="77777777" w:rsidR="000D4581" w:rsidRDefault="000D4581">
            <w:pPr>
              <w:autoSpaceDE w:val="0"/>
              <w:autoSpaceDN w:val="0"/>
              <w:adjustRightInd w:val="0"/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</w:pPr>
            <w:r>
              <w:rPr>
                <w:rFonts w:ascii="Gill Sans MT" w:eastAsia="Calibri" w:hAnsi="Gill Sans MT" w:cs="TyponineSans Pro Normal"/>
                <w:color w:val="61C050"/>
                <w:sz w:val="10"/>
                <w:szCs w:val="10"/>
              </w:rPr>
              <w:t>T</w:t>
            </w:r>
            <w:r>
              <w:rPr>
                <w:rFonts w:ascii="TyponineSans Pro Normal" w:eastAsia="Calibri" w:hAnsi="TyponineSans Pro Normal" w:cs="TyponineSans Pro Norm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>+385 (0)1 45 86 317</w:t>
            </w:r>
          </w:p>
          <w:p w14:paraId="6CC306EA" w14:textId="77777777" w:rsidR="000D4581" w:rsidRDefault="000D4581">
            <w:pPr>
              <w:autoSpaceDE w:val="0"/>
              <w:autoSpaceDN w:val="0"/>
              <w:adjustRightInd w:val="0"/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</w:pPr>
            <w:r>
              <w:rPr>
                <w:rFonts w:ascii="Gill Sans MT" w:eastAsia="Calibri" w:hAnsi="Gill Sans MT" w:cs="TyponineSans Pro Normal"/>
                <w:color w:val="61C050"/>
                <w:sz w:val="10"/>
                <w:szCs w:val="10"/>
              </w:rPr>
              <w:t>F</w:t>
            </w:r>
            <w:r>
              <w:rPr>
                <w:rFonts w:ascii="TyponineSans Pro Normal" w:eastAsia="Calibri" w:hAnsi="TyponineSans Pro Normal" w:cs="TyponineSans Pro Norm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>+385 (0)1 45 86 318</w:t>
            </w:r>
          </w:p>
          <w:p w14:paraId="10ED2211" w14:textId="77777777" w:rsidR="000D4581" w:rsidRDefault="000D4581">
            <w:pPr>
              <w:autoSpaceDE w:val="0"/>
              <w:autoSpaceDN w:val="0"/>
              <w:adjustRightInd w:val="0"/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</w:pPr>
            <w:r>
              <w:rPr>
                <w:rFonts w:ascii="Gill Sans MT" w:eastAsia="Calibri" w:hAnsi="Gill Sans MT" w:cs="TyponineSans Pro Normal"/>
                <w:color w:val="61C050"/>
                <w:sz w:val="10"/>
                <w:szCs w:val="10"/>
              </w:rPr>
              <w:t>E</w:t>
            </w:r>
            <w:r>
              <w:rPr>
                <w:rFonts w:ascii="TyponineSans Pro Normal" w:eastAsia="Calibri" w:hAnsi="TyponineSans Pro Normal" w:cs="TyponineSans Pro Normal"/>
                <w:color w:val="000000"/>
                <w:sz w:val="14"/>
                <w:szCs w:val="14"/>
              </w:rPr>
              <w:t xml:space="preserve"> </w:t>
            </w:r>
            <w:hyperlink r:id="rId9" w:history="1">
              <w:r>
                <w:rPr>
                  <w:rStyle w:val="Hyperlink"/>
                  <w:rFonts w:ascii="Corbel" w:eastAsia="Calibri" w:hAnsi="Corbel" w:cs="TyponineSans Pro Normal"/>
                  <w:sz w:val="12"/>
                  <w:szCs w:val="12"/>
                </w:rPr>
                <w:t>info@pp-medvednica.hr</w:t>
              </w:r>
            </w:hyperlink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 xml:space="preserve"> </w:t>
            </w:r>
          </w:p>
          <w:p w14:paraId="74409EBE" w14:textId="77777777" w:rsidR="000D4581" w:rsidRDefault="000D4581">
            <w:pPr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14:paraId="6E16E48B" w14:textId="77777777" w:rsidR="000D4581" w:rsidRDefault="000D4581">
            <w:pPr>
              <w:autoSpaceDE w:val="0"/>
              <w:autoSpaceDN w:val="0"/>
              <w:adjustRightInd w:val="0"/>
              <w:rPr>
                <w:rFonts w:ascii="Gill Sans MT" w:eastAsia="Calibri" w:hAnsi="Gill Sans MT" w:cs="TyponineSans Pro Normal"/>
                <w:color w:val="92D050"/>
                <w:sz w:val="10"/>
                <w:szCs w:val="10"/>
              </w:rPr>
            </w:pPr>
          </w:p>
          <w:p w14:paraId="7F4A9CB5" w14:textId="77777777" w:rsidR="000D4581" w:rsidRDefault="000D4581">
            <w:pPr>
              <w:autoSpaceDE w:val="0"/>
              <w:autoSpaceDN w:val="0"/>
              <w:adjustRightInd w:val="0"/>
              <w:rPr>
                <w:rFonts w:ascii="Gill Sans MT" w:eastAsia="Calibri" w:hAnsi="Gill Sans MT" w:cs="TyponineSans Pro Normal"/>
                <w:color w:val="92D050"/>
                <w:sz w:val="10"/>
                <w:szCs w:val="10"/>
              </w:rPr>
            </w:pPr>
          </w:p>
          <w:p w14:paraId="6C6AC177" w14:textId="77777777" w:rsidR="000D4581" w:rsidRDefault="000D4581">
            <w:pPr>
              <w:autoSpaceDE w:val="0"/>
              <w:autoSpaceDN w:val="0"/>
              <w:adjustRightInd w:val="0"/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</w:pPr>
            <w:r>
              <w:rPr>
                <w:rFonts w:ascii="Gill Sans MT" w:eastAsia="Calibri" w:hAnsi="Gill Sans MT" w:cs="TyponineSans Pro Normal"/>
                <w:color w:val="61C050"/>
                <w:sz w:val="10"/>
                <w:szCs w:val="10"/>
              </w:rPr>
              <w:t>W</w:t>
            </w:r>
            <w:r>
              <w:rPr>
                <w:rFonts w:ascii="TyponineSans Pro Normal" w:eastAsia="Calibri" w:hAnsi="TyponineSans Pro Normal" w:cs="TyponineSans Pro Normal"/>
                <w:color w:val="000000"/>
                <w:sz w:val="14"/>
                <w:szCs w:val="14"/>
              </w:rPr>
              <w:t xml:space="preserve"> </w:t>
            </w:r>
            <w:hyperlink r:id="rId10" w:history="1">
              <w:r>
                <w:rPr>
                  <w:rStyle w:val="Hyperlink"/>
                  <w:rFonts w:ascii="Corbel" w:eastAsia="Calibri" w:hAnsi="Corbel" w:cs="TyponineSans Pro Normal"/>
                  <w:sz w:val="12"/>
                  <w:szCs w:val="12"/>
                </w:rPr>
                <w:t>www.pp-medvednica.hr</w:t>
              </w:r>
            </w:hyperlink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 xml:space="preserve">  </w:t>
            </w:r>
          </w:p>
          <w:p w14:paraId="568CD9DB" w14:textId="77777777" w:rsidR="000D4581" w:rsidRDefault="000D4581">
            <w:pPr>
              <w:autoSpaceDE w:val="0"/>
              <w:autoSpaceDN w:val="0"/>
              <w:adjustRightInd w:val="0"/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</w:pPr>
            <w:r>
              <w:rPr>
                <w:rFonts w:ascii="Gill Sans MT" w:eastAsia="Calibri" w:hAnsi="Gill Sans MT" w:cs="TyponineSans Pro Normal"/>
                <w:color w:val="61C050"/>
                <w:sz w:val="10"/>
                <w:szCs w:val="10"/>
              </w:rPr>
              <w:t>A</w:t>
            </w:r>
            <w:r>
              <w:rPr>
                <w:rFonts w:ascii="TyponineSans Pro Normal" w:eastAsia="Calibri" w:hAnsi="TyponineSans Pro Normal" w:cs="TyponineSans Pro Norm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>Bliznec</w:t>
            </w:r>
            <w:proofErr w:type="spellEnd"/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 xml:space="preserve"> 70, 10000 Zagreb, Hrvatska</w:t>
            </w:r>
          </w:p>
          <w:p w14:paraId="748E887D" w14:textId="77777777" w:rsidR="000D4581" w:rsidRDefault="000D4581">
            <w:pPr>
              <w:autoSpaceDE w:val="0"/>
              <w:autoSpaceDN w:val="0"/>
              <w:adjustRightInd w:val="0"/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</w:pPr>
            <w:r>
              <w:rPr>
                <w:rFonts w:ascii="Gill Sans MT" w:eastAsia="Calibri" w:hAnsi="Gill Sans MT" w:cs="TyponineSans Pro Normal"/>
                <w:color w:val="61C050"/>
                <w:sz w:val="10"/>
                <w:szCs w:val="10"/>
              </w:rPr>
              <w:t>IBAN</w:t>
            </w:r>
            <w:r>
              <w:rPr>
                <w:rFonts w:ascii="TyponineSans Pro Normal" w:eastAsia="Calibri" w:hAnsi="TyponineSans Pro Normal" w:cs="TyponineSans Pro Norm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>hr</w:t>
            </w:r>
            <w:proofErr w:type="spellEnd"/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 xml:space="preserve"> 2723600001101373774</w:t>
            </w:r>
          </w:p>
          <w:p w14:paraId="1B170CC3" w14:textId="77777777" w:rsidR="000D4581" w:rsidRDefault="000D4581">
            <w:pPr>
              <w:rPr>
                <w:rFonts w:ascii="Corbel" w:eastAsia="Calibri" w:hAnsi="Corbel" w:cs="Arial"/>
                <w:b/>
                <w:sz w:val="12"/>
                <w:szCs w:val="12"/>
              </w:rPr>
            </w:pPr>
            <w:r>
              <w:rPr>
                <w:rFonts w:ascii="Gill Sans MT" w:eastAsia="Calibri" w:hAnsi="Gill Sans MT" w:cs="TyponineSans Pro Normal"/>
                <w:color w:val="61C050"/>
                <w:sz w:val="10"/>
                <w:szCs w:val="10"/>
              </w:rPr>
              <w:t>OIB</w:t>
            </w:r>
            <w:r>
              <w:rPr>
                <w:rFonts w:ascii="TyponineSans Pro Normal" w:eastAsia="Calibri" w:hAnsi="TyponineSans Pro Normal" w:cs="TyponineSans Pro Norm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>59832224817</w:t>
            </w:r>
          </w:p>
          <w:p w14:paraId="5E51574D" w14:textId="77777777" w:rsidR="000D4581" w:rsidRDefault="000D4581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14:paraId="5E783659" w14:textId="77777777" w:rsidR="000D4581" w:rsidRPr="002305E9" w:rsidRDefault="000D4581" w:rsidP="000D4581">
      <w:pPr>
        <w:rPr>
          <w:rFonts w:ascii="Arial" w:hAnsi="Arial" w:cs="Arial"/>
          <w:b/>
          <w:sz w:val="22"/>
          <w:szCs w:val="22"/>
          <w:lang w:eastAsia="hr-HR"/>
        </w:rPr>
      </w:pPr>
    </w:p>
    <w:p w14:paraId="656CF235" w14:textId="77777777" w:rsidR="000D4581" w:rsidRPr="002305E9" w:rsidRDefault="000D4581" w:rsidP="000D4581">
      <w:pPr>
        <w:rPr>
          <w:rFonts w:ascii="Arial" w:hAnsi="Arial" w:cs="Arial"/>
          <w:b/>
          <w:sz w:val="22"/>
          <w:szCs w:val="22"/>
          <w:lang w:eastAsia="hr-HR"/>
        </w:rPr>
      </w:pPr>
    </w:p>
    <w:p w14:paraId="38D485AD" w14:textId="77777777" w:rsidR="00785B7C" w:rsidRPr="002305E9" w:rsidRDefault="00785B7C" w:rsidP="00785B7C">
      <w:pPr>
        <w:jc w:val="both"/>
        <w:rPr>
          <w:rFonts w:ascii="Arial" w:hAnsi="Arial" w:cs="Arial"/>
          <w:b/>
          <w:sz w:val="22"/>
          <w:szCs w:val="22"/>
        </w:rPr>
      </w:pPr>
    </w:p>
    <w:p w14:paraId="3B677467" w14:textId="77777777" w:rsidR="00B0185C" w:rsidRPr="009B23A7" w:rsidRDefault="00B0185C" w:rsidP="00B0185C">
      <w:pPr>
        <w:jc w:val="both"/>
        <w:rPr>
          <w:b/>
        </w:rPr>
      </w:pPr>
    </w:p>
    <w:p w14:paraId="1B6F3361" w14:textId="77777777" w:rsidR="002425F4" w:rsidRPr="00E739FB" w:rsidRDefault="00B0185C" w:rsidP="00097AF2">
      <w:pPr>
        <w:pStyle w:val="ListParagraph"/>
        <w:numPr>
          <w:ilvl w:val="0"/>
          <w:numId w:val="5"/>
        </w:numPr>
        <w:jc w:val="both"/>
        <w:rPr>
          <w:b/>
        </w:rPr>
      </w:pPr>
      <w:r w:rsidRPr="00E739FB">
        <w:rPr>
          <w:b/>
        </w:rPr>
        <w:t>O</w:t>
      </w:r>
      <w:r w:rsidR="005C4DBC" w:rsidRPr="00E739FB">
        <w:rPr>
          <w:b/>
        </w:rPr>
        <w:t xml:space="preserve">BRAZLOŽENJE GODIŠNJEG IZVJEŠTAJA O IZVRŠENJU </w:t>
      </w:r>
      <w:r w:rsidR="00A81CE0" w:rsidRPr="00E739FB">
        <w:rPr>
          <w:b/>
        </w:rPr>
        <w:t xml:space="preserve">FINANCIJSKOG PLANA </w:t>
      </w:r>
    </w:p>
    <w:p w14:paraId="6354EFEA" w14:textId="5142223D" w:rsidR="00B0185C" w:rsidRPr="00E739FB" w:rsidRDefault="000E58BE" w:rsidP="002425F4">
      <w:pPr>
        <w:pStyle w:val="ListParagraph"/>
        <w:jc w:val="both"/>
        <w:rPr>
          <w:b/>
        </w:rPr>
      </w:pPr>
      <w:r w:rsidRPr="00E739FB">
        <w:rPr>
          <w:b/>
        </w:rPr>
        <w:t>ZA 202</w:t>
      </w:r>
      <w:r w:rsidR="00AA09D4" w:rsidRPr="00E739FB">
        <w:rPr>
          <w:b/>
        </w:rPr>
        <w:t>4</w:t>
      </w:r>
      <w:r w:rsidRPr="00E739FB">
        <w:rPr>
          <w:b/>
        </w:rPr>
        <w:t>. GODINU</w:t>
      </w:r>
    </w:p>
    <w:p w14:paraId="65C7C0DD" w14:textId="4AEB2360" w:rsidR="00E76E25" w:rsidRPr="00E739FB" w:rsidRDefault="00163E14" w:rsidP="00E76E25">
      <w:pPr>
        <w:pStyle w:val="ListParagraph"/>
        <w:ind w:left="360"/>
        <w:jc w:val="both"/>
        <w:rPr>
          <w:b/>
        </w:rPr>
      </w:pPr>
      <w:r w:rsidRPr="00E739FB">
        <w:rPr>
          <w:b/>
        </w:rPr>
        <w:t xml:space="preserve">  </w:t>
      </w:r>
    </w:p>
    <w:p w14:paraId="25EAAD68" w14:textId="77777777" w:rsidR="00C42D34" w:rsidRPr="00E739FB" w:rsidRDefault="00C42D34" w:rsidP="00E76E25">
      <w:pPr>
        <w:pStyle w:val="ListParagraph"/>
        <w:ind w:left="360"/>
        <w:jc w:val="both"/>
        <w:rPr>
          <w:b/>
        </w:rPr>
      </w:pPr>
    </w:p>
    <w:p w14:paraId="1ECFDF23" w14:textId="2639D4F9" w:rsidR="00E76E25" w:rsidRPr="00E739FB" w:rsidRDefault="00B0185C" w:rsidP="005000BD">
      <w:pPr>
        <w:pStyle w:val="ListParagraph"/>
        <w:numPr>
          <w:ilvl w:val="1"/>
          <w:numId w:val="5"/>
        </w:numPr>
        <w:jc w:val="both"/>
        <w:rPr>
          <w:b/>
        </w:rPr>
      </w:pPr>
      <w:r w:rsidRPr="00E739FB">
        <w:rPr>
          <w:b/>
        </w:rPr>
        <w:t>Obrazloženj</w:t>
      </w:r>
      <w:r w:rsidR="005000BD" w:rsidRPr="00E739FB">
        <w:rPr>
          <w:b/>
        </w:rPr>
        <w:t>e</w:t>
      </w:r>
      <w:r w:rsidRPr="00E739FB">
        <w:rPr>
          <w:b/>
        </w:rPr>
        <w:t xml:space="preserve"> općeg dijela izvještaja o izvršenju</w:t>
      </w:r>
      <w:r w:rsidR="00A81CE0" w:rsidRPr="00E739FB">
        <w:rPr>
          <w:b/>
        </w:rPr>
        <w:t xml:space="preserve"> financijskog plana</w:t>
      </w:r>
    </w:p>
    <w:p w14:paraId="443BEC79" w14:textId="77777777" w:rsidR="00C42D34" w:rsidRPr="00E739FB" w:rsidRDefault="00C42D34" w:rsidP="00C42D34">
      <w:pPr>
        <w:pStyle w:val="ListParagraph"/>
        <w:ind w:left="1080"/>
        <w:jc w:val="both"/>
        <w:rPr>
          <w:b/>
        </w:rPr>
      </w:pPr>
    </w:p>
    <w:p w14:paraId="345F0733" w14:textId="13C4A9BE" w:rsidR="00A81CE0" w:rsidRPr="00E739FB" w:rsidRDefault="00A81CE0" w:rsidP="005000BD">
      <w:pPr>
        <w:pStyle w:val="ListParagraph"/>
        <w:numPr>
          <w:ilvl w:val="2"/>
          <w:numId w:val="5"/>
        </w:numPr>
        <w:jc w:val="both"/>
        <w:rPr>
          <w:b/>
        </w:rPr>
      </w:pPr>
      <w:r w:rsidRPr="00E739FB">
        <w:rPr>
          <w:b/>
        </w:rPr>
        <w:t>Obrazloženje ostvarenja prihoda i rashoda, primitaka i izdataka</w:t>
      </w:r>
    </w:p>
    <w:p w14:paraId="6664574F" w14:textId="77777777" w:rsidR="00E76E25" w:rsidRPr="00E739FB" w:rsidRDefault="00E76E25" w:rsidP="00E76E25">
      <w:pPr>
        <w:jc w:val="both"/>
        <w:rPr>
          <w:bCs/>
        </w:rPr>
      </w:pPr>
    </w:p>
    <w:p w14:paraId="2B69DB43" w14:textId="77777777" w:rsidR="009E5953" w:rsidRPr="00E739FB" w:rsidRDefault="009E5953" w:rsidP="00E76E25">
      <w:pPr>
        <w:jc w:val="both"/>
        <w:rPr>
          <w:b/>
        </w:rPr>
      </w:pPr>
    </w:p>
    <w:p w14:paraId="721D7D8B" w14:textId="208F101D" w:rsidR="00C4534F" w:rsidRPr="00E739FB" w:rsidRDefault="00C4534F" w:rsidP="00E76E25">
      <w:pPr>
        <w:jc w:val="both"/>
        <w:rPr>
          <w:b/>
        </w:rPr>
      </w:pPr>
      <w:r w:rsidRPr="00E739FB">
        <w:rPr>
          <w:b/>
        </w:rPr>
        <w:t>PRIHODI</w:t>
      </w:r>
    </w:p>
    <w:p w14:paraId="428F4B6F" w14:textId="77777777" w:rsidR="00F35CBC" w:rsidRPr="00E739FB" w:rsidRDefault="00F35CBC" w:rsidP="00E76E25">
      <w:pPr>
        <w:jc w:val="both"/>
        <w:rPr>
          <w:b/>
        </w:rPr>
      </w:pPr>
    </w:p>
    <w:p w14:paraId="0FC6E426" w14:textId="77777777" w:rsidR="00CD26E9" w:rsidRPr="00E739FB" w:rsidRDefault="00CD26E9" w:rsidP="00E76E25">
      <w:pPr>
        <w:jc w:val="both"/>
        <w:rPr>
          <w:b/>
        </w:rPr>
      </w:pPr>
    </w:p>
    <w:p w14:paraId="58373EBD" w14:textId="2211FAAC" w:rsidR="00F35CBC" w:rsidRPr="00E739FB" w:rsidRDefault="00F35CBC" w:rsidP="00E76E25">
      <w:pPr>
        <w:jc w:val="both"/>
        <w:rPr>
          <w:b/>
        </w:rPr>
      </w:pPr>
      <w:r w:rsidRPr="00E739FB">
        <w:rPr>
          <w:b/>
        </w:rPr>
        <w:t>Prihodi prema ekonomskoj klasifikaciji</w:t>
      </w:r>
    </w:p>
    <w:p w14:paraId="1C9A066E" w14:textId="77777777" w:rsidR="00C4534F" w:rsidRPr="00E739FB" w:rsidRDefault="00C4534F" w:rsidP="00E76E25">
      <w:pPr>
        <w:jc w:val="both"/>
        <w:rPr>
          <w:bCs/>
        </w:rPr>
      </w:pPr>
    </w:p>
    <w:p w14:paraId="0311FFCC" w14:textId="08F5DF24" w:rsidR="002305E9" w:rsidRPr="00E739FB" w:rsidRDefault="002305E9" w:rsidP="002305E9">
      <w:pPr>
        <w:jc w:val="both"/>
        <w:rPr>
          <w:bCs/>
        </w:rPr>
      </w:pPr>
      <w:r w:rsidRPr="00E739FB">
        <w:rPr>
          <w:bCs/>
        </w:rPr>
        <w:t xml:space="preserve">Ukupni prihodi poslovanja iznose </w:t>
      </w:r>
      <w:r w:rsidR="00AA09D4" w:rsidRPr="00E739FB">
        <w:rPr>
          <w:bCs/>
        </w:rPr>
        <w:t>990.375,01</w:t>
      </w:r>
      <w:r w:rsidRPr="00E739FB">
        <w:rPr>
          <w:bCs/>
        </w:rPr>
        <w:t xml:space="preserve"> eura i </w:t>
      </w:r>
      <w:r w:rsidR="00AA09D4" w:rsidRPr="00E739FB">
        <w:rPr>
          <w:bCs/>
        </w:rPr>
        <w:t>povećani</w:t>
      </w:r>
      <w:r w:rsidRPr="00E739FB">
        <w:rPr>
          <w:bCs/>
        </w:rPr>
        <w:t xml:space="preserve"> su u odnosu na prethodnu godinu</w:t>
      </w:r>
      <w:r w:rsidR="0021240F">
        <w:rPr>
          <w:bCs/>
        </w:rPr>
        <w:t xml:space="preserve"> za 13,37 %.</w:t>
      </w:r>
    </w:p>
    <w:p w14:paraId="35981E26" w14:textId="77777777" w:rsidR="00D14681" w:rsidRPr="00E739FB" w:rsidRDefault="00D14681" w:rsidP="00B5609C"/>
    <w:p w14:paraId="34634102" w14:textId="77777777" w:rsidR="008A62B0" w:rsidRPr="00E739FB" w:rsidRDefault="008A62B0" w:rsidP="00B5609C"/>
    <w:p w14:paraId="02DF3324" w14:textId="29042931" w:rsidR="00B5609C" w:rsidRPr="00E739FB" w:rsidRDefault="00D14681" w:rsidP="00B5609C">
      <w:pPr>
        <w:rPr>
          <w:u w:val="single"/>
        </w:rPr>
      </w:pPr>
      <w:r w:rsidRPr="00E739FB">
        <w:rPr>
          <w:u w:val="single"/>
        </w:rPr>
        <w:t>63 Pomoći od međunarodnih organizacija te institucija i tijela EU</w:t>
      </w:r>
    </w:p>
    <w:p w14:paraId="47B99F07" w14:textId="77777777" w:rsidR="00B5609C" w:rsidRPr="00E739FB" w:rsidRDefault="00B5609C" w:rsidP="00B5609C"/>
    <w:p w14:paraId="15F0A48D" w14:textId="4BE57CEE" w:rsidR="00AA09D4" w:rsidRPr="00E739FB" w:rsidRDefault="003754A5" w:rsidP="00B5609C">
      <w:pPr>
        <w:jc w:val="both"/>
      </w:pPr>
      <w:r w:rsidRPr="00E739FB">
        <w:t xml:space="preserve">U tekućoj godini ostvaren je prihod u iznosu od </w:t>
      </w:r>
      <w:r w:rsidR="00AA09D4" w:rsidRPr="00E739FB">
        <w:t>40.855,90</w:t>
      </w:r>
      <w:r w:rsidRPr="00E739FB">
        <w:t xml:space="preserve"> eura</w:t>
      </w:r>
      <w:r w:rsidR="00A93160" w:rsidRPr="00E739FB">
        <w:t xml:space="preserve"> i uključuje sljedeće:</w:t>
      </w:r>
      <w:r w:rsidRPr="00E739FB">
        <w:t xml:space="preserve"> </w:t>
      </w:r>
    </w:p>
    <w:p w14:paraId="5A808872" w14:textId="2ABD3730" w:rsidR="008A62B0" w:rsidRPr="00E739FB" w:rsidRDefault="00F52686" w:rsidP="008A62B0">
      <w:pPr>
        <w:pStyle w:val="ListParagraph"/>
        <w:numPr>
          <w:ilvl w:val="0"/>
          <w:numId w:val="7"/>
        </w:numPr>
        <w:jc w:val="both"/>
      </w:pPr>
      <w:r w:rsidRPr="00E739FB">
        <w:t>t</w:t>
      </w:r>
      <w:r w:rsidR="00AA09D4" w:rsidRPr="00E739FB">
        <w:t>ekuć</w:t>
      </w:r>
      <w:r w:rsidRPr="00E739FB">
        <w:t>a</w:t>
      </w:r>
      <w:r w:rsidR="00AA09D4" w:rsidRPr="00E739FB">
        <w:t xml:space="preserve"> pomoć od međunarodnih organizacija te institucija i tijela EU prema Zahtjevu za plaćanje br. 16 </w:t>
      </w:r>
      <w:r w:rsidR="00AA09D4" w:rsidRPr="00E739FB">
        <w:rPr>
          <w:bCs/>
        </w:rPr>
        <w:t xml:space="preserve">za projekt „Poboljšanje </w:t>
      </w:r>
      <w:proofErr w:type="spellStart"/>
      <w:r w:rsidR="00AA09D4" w:rsidRPr="00E739FB">
        <w:rPr>
          <w:bCs/>
        </w:rPr>
        <w:t>posjetiteljskog</w:t>
      </w:r>
      <w:proofErr w:type="spellEnd"/>
      <w:r w:rsidR="00AA09D4" w:rsidRPr="00E739FB">
        <w:rPr>
          <w:bCs/>
        </w:rPr>
        <w:t xml:space="preserve"> kapaciteta u svrhu održivog upravljanja Parkom prirode Medvednica“ KK.06.1.2.01.0012.</w:t>
      </w:r>
      <w:r w:rsidR="008A62B0" w:rsidRPr="00E739FB">
        <w:rPr>
          <w:bCs/>
        </w:rPr>
        <w:t xml:space="preserve"> Nakon više godina razmatranja prigovora Ustanove na Odluku o nepravilnosti IRR04 izdano je Rješenje Ministarstva regionalnog razvoja i fondova Europske unije dana 9. listopada 2023. godine, te je donesena Odluka IRR04 – Izmjena 01 od strane Središnje agencije za financiranje i ugovaranje programa i  projekata Europske unije, KLASA:910-01/14-01/85, URBROJ:358-12-24-5431 od 4. ožujka 2024. godine kojom je utvrđeno kako nisu ostvareni konstitutivni elementi nepravilnosti, s obzirom da je utvrđeno da u konkretnom slučaju nije došlo do postupanja suprotnog pravu Unije ili nacionalnom pravu, te je Ustanovi izvršen povrat određene financijske korekcije u iznosu od 52.162,10 HRK/ 6.923,10 eura.</w:t>
      </w:r>
    </w:p>
    <w:p w14:paraId="0A2EAD00" w14:textId="3FD1C0EB" w:rsidR="000E58BE" w:rsidRPr="00E739FB" w:rsidRDefault="00A93160" w:rsidP="00A93160">
      <w:pPr>
        <w:pStyle w:val="ListParagraph"/>
        <w:numPr>
          <w:ilvl w:val="0"/>
          <w:numId w:val="7"/>
        </w:numPr>
        <w:jc w:val="both"/>
      </w:pPr>
      <w:r w:rsidRPr="00E739FB">
        <w:t>t</w:t>
      </w:r>
      <w:r w:rsidR="003754A5" w:rsidRPr="00E739FB">
        <w:t>ekuć</w:t>
      </w:r>
      <w:r w:rsidRPr="00E739FB">
        <w:t>a</w:t>
      </w:r>
      <w:r w:rsidR="003754A5" w:rsidRPr="00E739FB">
        <w:t xml:space="preserve"> i kapitaln</w:t>
      </w:r>
      <w:r w:rsidRPr="00E739FB">
        <w:t>a</w:t>
      </w:r>
      <w:r w:rsidR="003754A5" w:rsidRPr="00E739FB">
        <w:t xml:space="preserve"> pomoć izvanproračunskih korisnika </w:t>
      </w:r>
      <w:r w:rsidRPr="00E739FB">
        <w:t>-</w:t>
      </w:r>
      <w:r w:rsidR="00B5609C" w:rsidRPr="00E739FB">
        <w:t xml:space="preserve"> Fond za zaštitu okoliša i energetsku učinkovitost</w:t>
      </w:r>
      <w:r w:rsidR="000E58BE" w:rsidRPr="00E739FB">
        <w:t xml:space="preserve"> za uplatu Fondu prihvatljivih troškova za </w:t>
      </w:r>
      <w:r w:rsidR="00AA09D4" w:rsidRPr="00E739FB">
        <w:t>održavanje 2. znanstveno-stručnog skupa s međunarodnim sudjelovanjem „Zeleni dodir Medvednice“ i projekt „Šetnica Medvedgrad“ u ukupnom iznosu</w:t>
      </w:r>
      <w:r w:rsidR="008214C3">
        <w:t xml:space="preserve"> od</w:t>
      </w:r>
      <w:r w:rsidR="00AA09D4" w:rsidRPr="00E739FB">
        <w:t xml:space="preserve"> 19.057,80 eura</w:t>
      </w:r>
    </w:p>
    <w:p w14:paraId="75FEFE04" w14:textId="7035EC95" w:rsidR="00EC04B0" w:rsidRPr="00E739FB" w:rsidRDefault="003754A5" w:rsidP="003754A5">
      <w:pPr>
        <w:pStyle w:val="ListParagraph"/>
        <w:numPr>
          <w:ilvl w:val="0"/>
          <w:numId w:val="7"/>
        </w:numPr>
        <w:jc w:val="both"/>
      </w:pPr>
      <w:r w:rsidRPr="00E739FB">
        <w:t>prijenos između proračunskih korisnika istog proračuna</w:t>
      </w:r>
      <w:r w:rsidR="00AA09D4" w:rsidRPr="00E739FB">
        <w:t xml:space="preserve"> primljen od Zajedničkih sredstva parkova Hrvatske</w:t>
      </w:r>
      <w:r w:rsidRPr="00E739FB">
        <w:t xml:space="preserve"> u iznosu</w:t>
      </w:r>
      <w:r w:rsidR="008214C3">
        <w:t xml:space="preserve"> od</w:t>
      </w:r>
      <w:r w:rsidRPr="00E739FB">
        <w:t xml:space="preserve"> </w:t>
      </w:r>
      <w:r w:rsidR="00AA09D4" w:rsidRPr="00E739FB">
        <w:t>14.875,00</w:t>
      </w:r>
      <w:r w:rsidRPr="00E739FB">
        <w:t xml:space="preserve"> eura </w:t>
      </w:r>
      <w:r w:rsidR="00AA09D4" w:rsidRPr="00E739FB">
        <w:t>za izradu projektne dokumentacije za prihvatljivu rasvjetu u špilji Veternici</w:t>
      </w:r>
      <w:r w:rsidR="008214C3">
        <w:t>,</w:t>
      </w:r>
      <w:r w:rsidR="00AA09D4" w:rsidRPr="00E739FB">
        <w:t xml:space="preserve"> uklanjanje invazivnih vrsta</w:t>
      </w:r>
      <w:r w:rsidR="008214C3">
        <w:t xml:space="preserve"> u Parku prirode Medvednica i održavanje radionica </w:t>
      </w:r>
      <w:r w:rsidR="003501E5">
        <w:t xml:space="preserve">u vezi </w:t>
      </w:r>
      <w:r w:rsidR="00810736">
        <w:t xml:space="preserve">stranih biljnih </w:t>
      </w:r>
      <w:r w:rsidR="003501E5">
        <w:t>invazivnih vrsta</w:t>
      </w:r>
      <w:r w:rsidR="00810736">
        <w:t>.</w:t>
      </w:r>
    </w:p>
    <w:p w14:paraId="74DF6253" w14:textId="77777777" w:rsidR="00784F4C" w:rsidRPr="00E739FB" w:rsidRDefault="00784F4C" w:rsidP="00B5609C">
      <w:pPr>
        <w:jc w:val="both"/>
      </w:pPr>
    </w:p>
    <w:p w14:paraId="11DD981E" w14:textId="77777777" w:rsidR="008A62B0" w:rsidRPr="00E739FB" w:rsidRDefault="008A62B0" w:rsidP="00B5609C">
      <w:pPr>
        <w:jc w:val="both"/>
      </w:pPr>
    </w:p>
    <w:p w14:paraId="2E651AED" w14:textId="661AFBAC" w:rsidR="003754A5" w:rsidRPr="00E739FB" w:rsidRDefault="003754A5" w:rsidP="00B5609C">
      <w:pPr>
        <w:jc w:val="both"/>
        <w:rPr>
          <w:u w:val="single"/>
        </w:rPr>
      </w:pPr>
      <w:r w:rsidRPr="00E739FB">
        <w:rPr>
          <w:u w:val="single"/>
        </w:rPr>
        <w:t>64  Prihodi od imovine</w:t>
      </w:r>
    </w:p>
    <w:p w14:paraId="2B07ED9A" w14:textId="77777777" w:rsidR="003754A5" w:rsidRPr="00E739FB" w:rsidRDefault="003754A5" w:rsidP="00B5609C">
      <w:pPr>
        <w:jc w:val="both"/>
      </w:pPr>
    </w:p>
    <w:p w14:paraId="41A0E9D0" w14:textId="590380FC" w:rsidR="003754A5" w:rsidRPr="00E739FB" w:rsidRDefault="003754A5" w:rsidP="00B5609C">
      <w:pPr>
        <w:jc w:val="both"/>
      </w:pPr>
      <w:r w:rsidRPr="00E739FB">
        <w:t>U 202</w:t>
      </w:r>
      <w:r w:rsidR="00AA09D4" w:rsidRPr="00E739FB">
        <w:t>4</w:t>
      </w:r>
      <w:r w:rsidRPr="00E739FB">
        <w:t xml:space="preserve">. godini ostvaren je prihod od </w:t>
      </w:r>
      <w:r w:rsidR="00AA09D4" w:rsidRPr="00E739FB">
        <w:t>0,76</w:t>
      </w:r>
      <w:r w:rsidRPr="00E739FB">
        <w:t xml:space="preserve"> eura za </w:t>
      </w:r>
      <w:r w:rsidR="00D52732">
        <w:t>kamatu</w:t>
      </w:r>
      <w:r w:rsidRPr="00E739FB">
        <w:t xml:space="preserve"> po viđenju</w:t>
      </w:r>
      <w:r w:rsidR="00D52732">
        <w:t xml:space="preserve"> na poslovnom računu Ustanove</w:t>
      </w:r>
      <w:r w:rsidRPr="00E739FB">
        <w:t>.</w:t>
      </w:r>
    </w:p>
    <w:p w14:paraId="20AE0277" w14:textId="77777777" w:rsidR="00B5609C" w:rsidRPr="00E739FB" w:rsidRDefault="00B5609C" w:rsidP="00B5609C">
      <w:pPr>
        <w:rPr>
          <w:u w:val="single"/>
        </w:rPr>
      </w:pPr>
    </w:p>
    <w:p w14:paraId="06C9AD3D" w14:textId="77777777" w:rsidR="008A62B0" w:rsidRPr="00E739FB" w:rsidRDefault="008A62B0" w:rsidP="00B5609C">
      <w:pPr>
        <w:rPr>
          <w:u w:val="single"/>
        </w:rPr>
      </w:pPr>
    </w:p>
    <w:p w14:paraId="4EA1579C" w14:textId="18EA494C" w:rsidR="00B5609C" w:rsidRPr="00E739FB" w:rsidRDefault="00F52686" w:rsidP="00F52686">
      <w:pPr>
        <w:rPr>
          <w:u w:val="single"/>
        </w:rPr>
      </w:pPr>
      <w:r w:rsidRPr="00E739FB">
        <w:rPr>
          <w:u w:val="single"/>
        </w:rPr>
        <w:lastRenderedPageBreak/>
        <w:t>65</w:t>
      </w:r>
      <w:r w:rsidR="00B5609C" w:rsidRPr="00E739FB">
        <w:rPr>
          <w:u w:val="single"/>
        </w:rPr>
        <w:t xml:space="preserve"> </w:t>
      </w:r>
      <w:r w:rsidR="001B342F" w:rsidRPr="00E739FB">
        <w:rPr>
          <w:u w:val="single"/>
        </w:rPr>
        <w:t>Prihodi</w:t>
      </w:r>
      <w:r w:rsidR="003754A5" w:rsidRPr="00E739FB">
        <w:rPr>
          <w:u w:val="single"/>
        </w:rPr>
        <w:t xml:space="preserve"> od uprav</w:t>
      </w:r>
      <w:r w:rsidR="00A93160" w:rsidRPr="00E739FB">
        <w:rPr>
          <w:u w:val="single"/>
        </w:rPr>
        <w:t>n</w:t>
      </w:r>
      <w:r w:rsidR="003754A5" w:rsidRPr="00E739FB">
        <w:rPr>
          <w:u w:val="single"/>
        </w:rPr>
        <w:t>ih i a</w:t>
      </w:r>
      <w:r w:rsidR="00A93160" w:rsidRPr="00E739FB">
        <w:rPr>
          <w:u w:val="single"/>
        </w:rPr>
        <w:t>d</w:t>
      </w:r>
      <w:r w:rsidR="003754A5" w:rsidRPr="00E739FB">
        <w:rPr>
          <w:u w:val="single"/>
        </w:rPr>
        <w:t>ministrativnih pristojbi, pristojbi po posebnim propisima i naknada</w:t>
      </w:r>
      <w:r w:rsidR="001B342F" w:rsidRPr="00E739FB">
        <w:rPr>
          <w:u w:val="single"/>
        </w:rPr>
        <w:t xml:space="preserve"> </w:t>
      </w:r>
      <w:r w:rsidR="00B5609C" w:rsidRPr="00E739FB">
        <w:rPr>
          <w:u w:val="single"/>
        </w:rPr>
        <w:t xml:space="preserve"> </w:t>
      </w:r>
    </w:p>
    <w:p w14:paraId="1EAAE759" w14:textId="77777777" w:rsidR="00B5609C" w:rsidRPr="00E739FB" w:rsidRDefault="00B5609C" w:rsidP="00B5609C"/>
    <w:p w14:paraId="1E5BD365" w14:textId="3B9C5292" w:rsidR="00EC04B0" w:rsidRPr="00E739FB" w:rsidRDefault="001B342F" w:rsidP="00B5609C">
      <w:pPr>
        <w:jc w:val="both"/>
      </w:pPr>
      <w:r w:rsidRPr="00E739FB">
        <w:t>Prihodi po posebnim propisima</w:t>
      </w:r>
      <w:r w:rsidR="00B5609C" w:rsidRPr="00E739FB">
        <w:t xml:space="preserve"> </w:t>
      </w:r>
      <w:r w:rsidR="0064436F" w:rsidRPr="00E739FB">
        <w:t xml:space="preserve">odnose se na </w:t>
      </w:r>
      <w:r w:rsidR="00B5609C" w:rsidRPr="00E739FB">
        <w:t xml:space="preserve">ulaznice za Centar za posjetitelje Medvedgrad, </w:t>
      </w:r>
      <w:r w:rsidR="00932AF0" w:rsidRPr="00E739FB">
        <w:t>r</w:t>
      </w:r>
      <w:r w:rsidR="00B5609C" w:rsidRPr="00E739FB">
        <w:t xml:space="preserve">udnik Zrinski i </w:t>
      </w:r>
      <w:r w:rsidR="00AB32F1" w:rsidRPr="00E739FB">
        <w:t>š</w:t>
      </w:r>
      <w:r w:rsidR="00B5609C" w:rsidRPr="00E739FB">
        <w:t>pilju Veternicu</w:t>
      </w:r>
      <w:r w:rsidR="00EC04B0" w:rsidRPr="00E739FB">
        <w:t xml:space="preserve"> u iznosu od </w:t>
      </w:r>
      <w:r w:rsidR="00AA09D4" w:rsidRPr="00E739FB">
        <w:t>142.767,42</w:t>
      </w:r>
      <w:r w:rsidR="00EC04B0" w:rsidRPr="00E739FB">
        <w:t xml:space="preserve"> eura</w:t>
      </w:r>
      <w:r w:rsidR="00427A68">
        <w:t xml:space="preserve"> i uvećani su u odnosu na 2023. godinu za 24,11 %</w:t>
      </w:r>
      <w:r w:rsidR="0064436F" w:rsidRPr="00E739FB">
        <w:t>. U prethodnoj</w:t>
      </w:r>
      <w:r w:rsidR="00035347">
        <w:t xml:space="preserve"> 2023.</w:t>
      </w:r>
      <w:r w:rsidR="0064436F" w:rsidRPr="00E739FB">
        <w:t xml:space="preserve"> godini zbog višemjesečnog </w:t>
      </w:r>
      <w:r w:rsidR="00EC04B0" w:rsidRPr="00E739FB">
        <w:t>zatvaranja/privremene regulacije prometa Sljemenske ceste</w:t>
      </w:r>
      <w:r w:rsidR="0064436F" w:rsidRPr="00E739FB">
        <w:t xml:space="preserve"> radi obnove</w:t>
      </w:r>
      <w:r w:rsidR="00EC04B0" w:rsidRPr="00E739FB">
        <w:t xml:space="preserve"> bio je onemogućen prilaz posjetitelja vozilima do objekata </w:t>
      </w:r>
      <w:r w:rsidR="00650C6F" w:rsidRPr="00E739FB">
        <w:t>r</w:t>
      </w:r>
      <w:r w:rsidR="00EC04B0" w:rsidRPr="00E739FB">
        <w:t>udnik Zrinski i Centar za posjetitelje Medvedgrad</w:t>
      </w:r>
      <w:r w:rsidR="00035347">
        <w:t xml:space="preserve"> što je rezultiralo tada manjim prihodom </w:t>
      </w:r>
      <w:r w:rsidR="00BC5896">
        <w:t>od prodaje ulaznica</w:t>
      </w:r>
      <w:r w:rsidR="0064436F" w:rsidRPr="00E739FB">
        <w:t>.</w:t>
      </w:r>
    </w:p>
    <w:p w14:paraId="12E2CA95" w14:textId="77777777" w:rsidR="00B5609C" w:rsidRPr="00E739FB" w:rsidRDefault="00B5609C" w:rsidP="00B5609C"/>
    <w:p w14:paraId="7D8B9DD0" w14:textId="77777777" w:rsidR="008A62B0" w:rsidRPr="00E739FB" w:rsidRDefault="008A62B0" w:rsidP="00B5609C"/>
    <w:p w14:paraId="21828242" w14:textId="38C5A680" w:rsidR="00B5609C" w:rsidRPr="00E739FB" w:rsidRDefault="00B5609C" w:rsidP="00B5609C">
      <w:pPr>
        <w:rPr>
          <w:u w:val="single"/>
        </w:rPr>
      </w:pPr>
      <w:r w:rsidRPr="00E739FB">
        <w:rPr>
          <w:u w:val="single"/>
        </w:rPr>
        <w:t>66   Prihodi od prodaje proizvoda i roba i pruženih usluga</w:t>
      </w:r>
      <w:r w:rsidR="00F335AE" w:rsidRPr="00E739FB">
        <w:rPr>
          <w:u w:val="single"/>
        </w:rPr>
        <w:t xml:space="preserve"> i prihodi od donacija te povrati po protestiranim jamstvima</w:t>
      </w:r>
    </w:p>
    <w:p w14:paraId="41138DC0" w14:textId="77777777" w:rsidR="00B5609C" w:rsidRPr="00E739FB" w:rsidRDefault="00B5609C" w:rsidP="00B5609C"/>
    <w:p w14:paraId="0CECB8D6" w14:textId="1CEF8F36" w:rsidR="00F335AE" w:rsidRPr="00E739FB" w:rsidRDefault="00F335AE" w:rsidP="00B5609C">
      <w:pPr>
        <w:jc w:val="both"/>
      </w:pPr>
      <w:r w:rsidRPr="00E739FB">
        <w:t>U 202</w:t>
      </w:r>
      <w:r w:rsidR="0064436F" w:rsidRPr="00E739FB">
        <w:t>4</w:t>
      </w:r>
      <w:r w:rsidRPr="00E739FB">
        <w:t>. godini ukupno su ostvareni prihodi u iznosu 10</w:t>
      </w:r>
      <w:r w:rsidR="0064436F" w:rsidRPr="00E739FB">
        <w:t>0.712,27</w:t>
      </w:r>
      <w:r w:rsidRPr="00E739FB">
        <w:t xml:space="preserve"> eura i uključuju sljedeće prihode:</w:t>
      </w:r>
    </w:p>
    <w:p w14:paraId="22931306" w14:textId="77777777" w:rsidR="00F335AE" w:rsidRPr="00E739FB" w:rsidRDefault="00F335AE" w:rsidP="00B5609C">
      <w:pPr>
        <w:jc w:val="both"/>
      </w:pPr>
    </w:p>
    <w:p w14:paraId="6303D6DE" w14:textId="072C45DD" w:rsidR="00B5609C" w:rsidRPr="00E739FB" w:rsidRDefault="00B5609C" w:rsidP="00B5609C">
      <w:pPr>
        <w:pStyle w:val="ListParagraph"/>
        <w:numPr>
          <w:ilvl w:val="0"/>
          <w:numId w:val="8"/>
        </w:numPr>
        <w:jc w:val="both"/>
      </w:pPr>
      <w:r w:rsidRPr="00E739FB">
        <w:t xml:space="preserve">Prihodi od prodaje proizvoda i roba </w:t>
      </w:r>
      <w:r w:rsidR="00F335AE" w:rsidRPr="00E739FB">
        <w:t>te pruženih usluga u iznosu od 9</w:t>
      </w:r>
      <w:r w:rsidR="0064436F" w:rsidRPr="00E739FB">
        <w:t>0</w:t>
      </w:r>
      <w:r w:rsidR="00F335AE" w:rsidRPr="00E739FB">
        <w:t>.</w:t>
      </w:r>
      <w:r w:rsidR="0064436F" w:rsidRPr="00E739FB">
        <w:t>712,27</w:t>
      </w:r>
      <w:r w:rsidR="00F335AE" w:rsidRPr="00E739FB">
        <w:t xml:space="preserve"> eura.</w:t>
      </w:r>
    </w:p>
    <w:p w14:paraId="21ACBACF" w14:textId="7A37EA29" w:rsidR="00F335AE" w:rsidRPr="00E739FB" w:rsidRDefault="00F335AE" w:rsidP="00F335AE">
      <w:pPr>
        <w:ind w:left="708"/>
        <w:jc w:val="both"/>
      </w:pPr>
      <w:r w:rsidRPr="00E739FB">
        <w:t>Prihodi od prodaje proizvoda i roba odnose se na prodaju suvenira.</w:t>
      </w:r>
    </w:p>
    <w:p w14:paraId="1518688D" w14:textId="46139241" w:rsidR="0064436F" w:rsidRPr="00E739FB" w:rsidRDefault="0064436F" w:rsidP="0064436F">
      <w:pPr>
        <w:ind w:left="708"/>
        <w:jc w:val="both"/>
      </w:pPr>
      <w:r w:rsidRPr="00E739FB">
        <w:t>Prihodi od pruženih usluga obuhvaćaju prihode od koncesijskih odobrenja sukladno Zakonu o zaštiti prirode (NN br. 80/13, 15/18, 14/19, 127/19, 155/23), edukativnih programa te ostalih aktivnosti koje se naplaćuju sukladno važećem cjeniku</w:t>
      </w:r>
      <w:r w:rsidR="00F52686" w:rsidRPr="00E739FB">
        <w:t>.</w:t>
      </w:r>
    </w:p>
    <w:p w14:paraId="4E3B65E8" w14:textId="77777777" w:rsidR="0064436F" w:rsidRPr="00E739FB" w:rsidRDefault="0064436F" w:rsidP="0064436F">
      <w:pPr>
        <w:jc w:val="both"/>
      </w:pPr>
    </w:p>
    <w:p w14:paraId="332F1F61" w14:textId="04A528F2" w:rsidR="003515F5" w:rsidRPr="00E739FB" w:rsidRDefault="00F335AE" w:rsidP="00B5609C">
      <w:pPr>
        <w:pStyle w:val="ListParagraph"/>
        <w:numPr>
          <w:ilvl w:val="0"/>
          <w:numId w:val="8"/>
        </w:numPr>
        <w:jc w:val="both"/>
      </w:pPr>
      <w:r w:rsidRPr="00E739FB">
        <w:t xml:space="preserve">Donacije od pravnih i fizičkih osoba izvan općeg proračuna i povrat donacija po protestiranim jamstvima u iznosu od </w:t>
      </w:r>
      <w:r w:rsidR="0064436F" w:rsidRPr="00E739FB">
        <w:t>10.000,00</w:t>
      </w:r>
      <w:r w:rsidRPr="00E739FB">
        <w:t xml:space="preserve"> eura</w:t>
      </w:r>
    </w:p>
    <w:p w14:paraId="22793C26" w14:textId="767834C3" w:rsidR="0064436F" w:rsidRPr="00E739FB" w:rsidRDefault="003515F5" w:rsidP="00F335AE">
      <w:pPr>
        <w:ind w:left="708"/>
        <w:jc w:val="both"/>
      </w:pPr>
      <w:r w:rsidRPr="00E739FB">
        <w:t>U 202</w:t>
      </w:r>
      <w:r w:rsidR="0064436F" w:rsidRPr="00E739FB">
        <w:t>4</w:t>
      </w:r>
      <w:r w:rsidRPr="00E739FB">
        <w:t>. godini primljene su donacije od Turističke zajednice grada Zagreba za</w:t>
      </w:r>
      <w:r w:rsidR="0064436F" w:rsidRPr="00E739FB">
        <w:t xml:space="preserve"> projekt „Medvednica online“, organiziranje 2. Znanstveno-stručnog skupa „Zeleni dodir Medvednice“, izradu dvojezičnih (hrvatski/engleski) turističkih blok karata</w:t>
      </w:r>
      <w:r w:rsidR="006D16DB">
        <w:t>,</w:t>
      </w:r>
      <w:r w:rsidR="0064436F" w:rsidRPr="00E739FB">
        <w:t xml:space="preserve"> održavanja Međunarodne noći šišmiša i XVII. Srednjovjekovnih dana na Medvednici.</w:t>
      </w:r>
    </w:p>
    <w:p w14:paraId="0790009E" w14:textId="77777777" w:rsidR="000D4581" w:rsidRPr="00E739FB" w:rsidRDefault="000D4581" w:rsidP="00B5609C">
      <w:pPr>
        <w:jc w:val="both"/>
      </w:pPr>
    </w:p>
    <w:p w14:paraId="5005788D" w14:textId="77777777" w:rsidR="008A62B0" w:rsidRPr="00E739FB" w:rsidRDefault="008A62B0" w:rsidP="00B5609C">
      <w:pPr>
        <w:jc w:val="both"/>
      </w:pPr>
    </w:p>
    <w:p w14:paraId="530AC310" w14:textId="4604A99B" w:rsidR="00B5609C" w:rsidRPr="00E739FB" w:rsidRDefault="00B5609C" w:rsidP="00B5609C">
      <w:pPr>
        <w:jc w:val="both"/>
        <w:rPr>
          <w:u w:val="single"/>
        </w:rPr>
      </w:pPr>
      <w:r w:rsidRPr="00E739FB">
        <w:rPr>
          <w:u w:val="single"/>
        </w:rPr>
        <w:t xml:space="preserve">67   Prihodi iz </w:t>
      </w:r>
      <w:r w:rsidR="00F335AE" w:rsidRPr="00E739FB">
        <w:rPr>
          <w:u w:val="single"/>
        </w:rPr>
        <w:t xml:space="preserve">proračuna </w:t>
      </w:r>
    </w:p>
    <w:p w14:paraId="5EEA1693" w14:textId="77777777" w:rsidR="00B5609C" w:rsidRPr="00E739FB" w:rsidRDefault="00B5609C" w:rsidP="00B5609C">
      <w:pPr>
        <w:jc w:val="both"/>
      </w:pPr>
    </w:p>
    <w:p w14:paraId="5570F678" w14:textId="10F05745" w:rsidR="00B5609C" w:rsidRPr="00E739FB" w:rsidRDefault="00B5609C" w:rsidP="00B5609C">
      <w:pPr>
        <w:jc w:val="both"/>
      </w:pPr>
      <w:r w:rsidRPr="00E739FB">
        <w:t>Iskazani prihodi primljeni su od nadležnog proračuna za financiranje redovnog poslovanja Ustanove sukladno utvrđenom financijskom planu za 202</w:t>
      </w:r>
      <w:r w:rsidR="0064436F" w:rsidRPr="00E739FB">
        <w:t>4</w:t>
      </w:r>
      <w:r w:rsidRPr="00E739FB">
        <w:t>. godinu</w:t>
      </w:r>
      <w:r w:rsidR="00E004A3">
        <w:t xml:space="preserve"> i uvećani su u odnosu na 2023. godinu za </w:t>
      </w:r>
      <w:r w:rsidR="004D1CBF">
        <w:t>26,19 %</w:t>
      </w:r>
      <w:r w:rsidRPr="00E739FB">
        <w:t xml:space="preserve">. </w:t>
      </w:r>
    </w:p>
    <w:p w14:paraId="355D9411" w14:textId="77777777" w:rsidR="002305E9" w:rsidRPr="00E739FB" w:rsidRDefault="002305E9" w:rsidP="00B5609C">
      <w:pPr>
        <w:jc w:val="both"/>
      </w:pPr>
    </w:p>
    <w:p w14:paraId="6B0AB915" w14:textId="77777777" w:rsidR="00CD26E9" w:rsidRPr="00E739FB" w:rsidRDefault="00CD26E9" w:rsidP="00B5609C">
      <w:pPr>
        <w:jc w:val="both"/>
      </w:pPr>
    </w:p>
    <w:p w14:paraId="6882735A" w14:textId="2FDE6952" w:rsidR="00F35CBC" w:rsidRPr="00E739FB" w:rsidRDefault="00F35CBC" w:rsidP="00F35CBC">
      <w:pPr>
        <w:jc w:val="both"/>
        <w:rPr>
          <w:b/>
          <w:bCs/>
        </w:rPr>
      </w:pPr>
      <w:r w:rsidRPr="00E739FB">
        <w:rPr>
          <w:b/>
          <w:bCs/>
        </w:rPr>
        <w:t>Prihodi prema izvorima financiranja</w:t>
      </w:r>
    </w:p>
    <w:p w14:paraId="6F904073" w14:textId="77777777" w:rsidR="00F35CBC" w:rsidRPr="00E739FB" w:rsidRDefault="00F35CBC" w:rsidP="00F35CBC">
      <w:pPr>
        <w:jc w:val="both"/>
      </w:pPr>
    </w:p>
    <w:p w14:paraId="0C05662E" w14:textId="565C5145" w:rsidR="00F35CBC" w:rsidRPr="00E739FB" w:rsidRDefault="00F35CBC" w:rsidP="00F35CBC">
      <w:pPr>
        <w:jc w:val="both"/>
      </w:pPr>
      <w:r w:rsidRPr="00E739FB">
        <w:t>Od ukupno ostvarenih prihoda u 202</w:t>
      </w:r>
      <w:r w:rsidR="0093146F" w:rsidRPr="00E739FB">
        <w:t>4</w:t>
      </w:r>
      <w:r w:rsidRPr="00E739FB">
        <w:t xml:space="preserve">. godini najveći iznos od </w:t>
      </w:r>
      <w:r w:rsidR="0093146F" w:rsidRPr="00E739FB">
        <w:t>706.038,66</w:t>
      </w:r>
      <w:r w:rsidRPr="00E739FB">
        <w:t xml:space="preserve"> eura ostvareno </w:t>
      </w:r>
      <w:r w:rsidR="00F52686" w:rsidRPr="00E739FB">
        <w:t>je od</w:t>
      </w:r>
      <w:r w:rsidRPr="00E739FB">
        <w:t xml:space="preserve"> izvor</w:t>
      </w:r>
      <w:r w:rsidR="00F52686" w:rsidRPr="00E739FB">
        <w:t>a</w:t>
      </w:r>
      <w:r w:rsidRPr="00E739FB">
        <w:t xml:space="preserve"> financiranja 1</w:t>
      </w:r>
      <w:r w:rsidR="008D2BB7" w:rsidRPr="00E739FB">
        <w:t>.</w:t>
      </w:r>
      <w:r w:rsidRPr="00E739FB">
        <w:t>1</w:t>
      </w:r>
      <w:r w:rsidR="008D2BB7" w:rsidRPr="00E739FB">
        <w:t>.</w:t>
      </w:r>
      <w:r w:rsidRPr="00E739FB">
        <w:t xml:space="preserve"> Opći prihodi i primici. Vlastiti prihod</w:t>
      </w:r>
      <w:r w:rsidR="009B23A7" w:rsidRPr="00E739FB">
        <w:t>i</w:t>
      </w:r>
      <w:r w:rsidRPr="00E739FB">
        <w:t xml:space="preserve"> na izvoru financiranja 3</w:t>
      </w:r>
      <w:r w:rsidR="008D2BB7" w:rsidRPr="00E739FB">
        <w:t>.</w:t>
      </w:r>
      <w:r w:rsidRPr="00E739FB">
        <w:t>1</w:t>
      </w:r>
      <w:r w:rsidR="008D2BB7" w:rsidRPr="00E739FB">
        <w:t>.</w:t>
      </w:r>
      <w:r w:rsidRPr="00E739FB">
        <w:t xml:space="preserve"> ostvareni su u iznosu </w:t>
      </w:r>
      <w:r w:rsidR="00E12E90" w:rsidRPr="00E739FB">
        <w:t>90.713,03</w:t>
      </w:r>
      <w:r w:rsidRPr="00E739FB">
        <w:t xml:space="preserve"> eura, a Ostali prihodi za posebne namjene na izvoru financiranja 4</w:t>
      </w:r>
      <w:r w:rsidR="00E12E90" w:rsidRPr="00E739FB">
        <w:t>.</w:t>
      </w:r>
      <w:r w:rsidRPr="00E739FB">
        <w:t>3</w:t>
      </w:r>
      <w:r w:rsidR="00E12E90" w:rsidRPr="00E739FB">
        <w:t>.</w:t>
      </w:r>
      <w:r w:rsidRPr="00E739FB">
        <w:t xml:space="preserve"> ostvareni su u iznosu 1</w:t>
      </w:r>
      <w:r w:rsidR="0093146F" w:rsidRPr="00E739FB">
        <w:t>42.767,42</w:t>
      </w:r>
      <w:r w:rsidRPr="00E739FB">
        <w:t xml:space="preserve"> eura.</w:t>
      </w:r>
    </w:p>
    <w:p w14:paraId="462DA37D" w14:textId="77777777" w:rsidR="00F35CBC" w:rsidRPr="00E739FB" w:rsidRDefault="00F35CBC" w:rsidP="00F35CBC">
      <w:pPr>
        <w:jc w:val="both"/>
      </w:pPr>
    </w:p>
    <w:p w14:paraId="28EB3878" w14:textId="77777777" w:rsidR="00F35CBC" w:rsidRPr="00E739FB" w:rsidRDefault="00F35CBC" w:rsidP="00B5609C">
      <w:pPr>
        <w:jc w:val="both"/>
      </w:pPr>
    </w:p>
    <w:p w14:paraId="339E942A" w14:textId="170D720F" w:rsidR="001B342F" w:rsidRPr="00E739FB" w:rsidRDefault="00C4534F" w:rsidP="001B342F">
      <w:pPr>
        <w:jc w:val="both"/>
        <w:rPr>
          <w:b/>
        </w:rPr>
      </w:pPr>
      <w:r w:rsidRPr="00E739FB">
        <w:rPr>
          <w:b/>
        </w:rPr>
        <w:t>RASHODI</w:t>
      </w:r>
    </w:p>
    <w:p w14:paraId="47246C66" w14:textId="77777777" w:rsidR="003515F5" w:rsidRPr="00E739FB" w:rsidRDefault="003515F5" w:rsidP="001B342F">
      <w:pPr>
        <w:jc w:val="both"/>
        <w:rPr>
          <w:bCs/>
        </w:rPr>
      </w:pPr>
    </w:p>
    <w:p w14:paraId="3D3C8D1B" w14:textId="77777777" w:rsidR="00CD26E9" w:rsidRPr="00E739FB" w:rsidRDefault="00CD26E9" w:rsidP="001B342F">
      <w:pPr>
        <w:jc w:val="both"/>
        <w:rPr>
          <w:bCs/>
        </w:rPr>
      </w:pPr>
    </w:p>
    <w:p w14:paraId="4D50A929" w14:textId="36877F99" w:rsidR="00F35CBC" w:rsidRPr="00E739FB" w:rsidRDefault="00F35CBC" w:rsidP="001B342F">
      <w:pPr>
        <w:jc w:val="both"/>
        <w:rPr>
          <w:b/>
        </w:rPr>
      </w:pPr>
      <w:r w:rsidRPr="00E739FB">
        <w:rPr>
          <w:b/>
        </w:rPr>
        <w:t>Rashodi prema ekonomskoj klasifikaciji</w:t>
      </w:r>
    </w:p>
    <w:p w14:paraId="0415B03E" w14:textId="77777777" w:rsidR="00CD26E9" w:rsidRPr="00E739FB" w:rsidRDefault="00CD26E9" w:rsidP="001B342F">
      <w:pPr>
        <w:jc w:val="both"/>
        <w:rPr>
          <w:bCs/>
        </w:rPr>
      </w:pPr>
    </w:p>
    <w:p w14:paraId="6A765F03" w14:textId="27D928C1" w:rsidR="002305E9" w:rsidRPr="00E739FB" w:rsidRDefault="002305E9" w:rsidP="002305E9">
      <w:pPr>
        <w:jc w:val="both"/>
        <w:rPr>
          <w:bCs/>
        </w:rPr>
      </w:pPr>
      <w:r w:rsidRPr="00E739FB">
        <w:rPr>
          <w:bCs/>
        </w:rPr>
        <w:t>Rashodi poslovanja povećani su u odnosu na prethodnu godinu</w:t>
      </w:r>
      <w:r w:rsidR="008502D8" w:rsidRPr="00E739FB">
        <w:rPr>
          <w:bCs/>
        </w:rPr>
        <w:t xml:space="preserve"> za </w:t>
      </w:r>
      <w:r w:rsidR="00F52686" w:rsidRPr="00E739FB">
        <w:rPr>
          <w:bCs/>
        </w:rPr>
        <w:t>41,04</w:t>
      </w:r>
      <w:r w:rsidR="008502D8" w:rsidRPr="00E739FB">
        <w:rPr>
          <w:bCs/>
        </w:rPr>
        <w:t>%</w:t>
      </w:r>
      <w:r w:rsidRPr="00E739FB">
        <w:rPr>
          <w:bCs/>
        </w:rPr>
        <w:t xml:space="preserve"> i iznose </w:t>
      </w:r>
      <w:r w:rsidR="00F52686" w:rsidRPr="00E739FB">
        <w:rPr>
          <w:bCs/>
        </w:rPr>
        <w:t>1.170.682,86</w:t>
      </w:r>
      <w:r w:rsidRPr="00E739FB">
        <w:rPr>
          <w:bCs/>
        </w:rPr>
        <w:t xml:space="preserve"> eura.</w:t>
      </w:r>
    </w:p>
    <w:p w14:paraId="397AD08A" w14:textId="77777777" w:rsidR="002305E9" w:rsidRPr="00E739FB" w:rsidRDefault="002305E9" w:rsidP="001B342F">
      <w:pPr>
        <w:jc w:val="both"/>
        <w:rPr>
          <w:bCs/>
        </w:rPr>
      </w:pPr>
    </w:p>
    <w:p w14:paraId="4F975102" w14:textId="77777777" w:rsidR="00CD26E9" w:rsidRPr="00E739FB" w:rsidRDefault="00CD26E9" w:rsidP="001B342F">
      <w:pPr>
        <w:jc w:val="both"/>
        <w:rPr>
          <w:bCs/>
        </w:rPr>
      </w:pPr>
    </w:p>
    <w:p w14:paraId="0C1BA3F6" w14:textId="0C65A6A3" w:rsidR="00587CFE" w:rsidRPr="00E739FB" w:rsidRDefault="00784F4C" w:rsidP="001B342F">
      <w:pPr>
        <w:jc w:val="both"/>
        <w:rPr>
          <w:bCs/>
          <w:u w:val="single"/>
        </w:rPr>
      </w:pPr>
      <w:r w:rsidRPr="00E739FB">
        <w:rPr>
          <w:bCs/>
          <w:u w:val="single"/>
        </w:rPr>
        <w:t>31  Rashodi za zaposlene</w:t>
      </w:r>
    </w:p>
    <w:p w14:paraId="748D9EAF" w14:textId="26CC7537" w:rsidR="0079762F" w:rsidRPr="00E739FB" w:rsidRDefault="0079762F" w:rsidP="001B342F">
      <w:pPr>
        <w:jc w:val="both"/>
        <w:rPr>
          <w:bCs/>
        </w:rPr>
      </w:pPr>
    </w:p>
    <w:p w14:paraId="70ED9193" w14:textId="79FEA323" w:rsidR="00F52686" w:rsidRPr="00E739FB" w:rsidRDefault="00784F4C" w:rsidP="00F52686">
      <w:pPr>
        <w:jc w:val="both"/>
        <w:rPr>
          <w:bCs/>
        </w:rPr>
      </w:pPr>
      <w:r w:rsidRPr="00E739FB">
        <w:rPr>
          <w:bCs/>
        </w:rPr>
        <w:lastRenderedPageBreak/>
        <w:t xml:space="preserve">Plaće za redovan rad povećane su za </w:t>
      </w:r>
      <w:r w:rsidR="00F52686" w:rsidRPr="00E739FB">
        <w:rPr>
          <w:bCs/>
        </w:rPr>
        <w:t>47,34</w:t>
      </w:r>
      <w:r w:rsidRPr="00E739FB">
        <w:rPr>
          <w:bCs/>
        </w:rPr>
        <w:t xml:space="preserve"> % u odnosu na prethodnu godinu</w:t>
      </w:r>
      <w:r w:rsidR="00F86CD2">
        <w:rPr>
          <w:bCs/>
        </w:rPr>
        <w:t xml:space="preserve"> najvišim dijelom</w:t>
      </w:r>
      <w:r w:rsidR="00816C9E" w:rsidRPr="00E739FB">
        <w:rPr>
          <w:bCs/>
        </w:rPr>
        <w:t xml:space="preserve"> </w:t>
      </w:r>
      <w:r w:rsidR="00F52686" w:rsidRPr="00E739FB">
        <w:rPr>
          <w:bCs/>
        </w:rPr>
        <w:t>zbog povećanja koeficijenata sukladno Uredbi o nazivima radnih mjesta, uvjetima za raspored i koeficijentima za obračun plaće u javnim službama (NN 22/2024) i Zakonu o plaćama u državnoj službi i javnim službama (NN 155/23).</w:t>
      </w:r>
      <w:r w:rsidR="00F86CD2">
        <w:rPr>
          <w:bCs/>
        </w:rPr>
        <w:t xml:space="preserve"> Tijekom 2024. godine dvoje zaposlenika</w:t>
      </w:r>
      <w:r w:rsidR="00BE7BEA">
        <w:rPr>
          <w:bCs/>
        </w:rPr>
        <w:t xml:space="preserve"> na radnom mjestu Suradnik u Odjelu Centar za posjetitelje Medvedgrad</w:t>
      </w:r>
      <w:r w:rsidR="00F86CD2">
        <w:rPr>
          <w:bCs/>
        </w:rPr>
        <w:t xml:space="preserve"> </w:t>
      </w:r>
      <w:r w:rsidR="00651D8A">
        <w:rPr>
          <w:bCs/>
        </w:rPr>
        <w:t>je</w:t>
      </w:r>
      <w:r w:rsidR="00BE7BEA">
        <w:rPr>
          <w:bCs/>
        </w:rPr>
        <w:t xml:space="preserve"> dalo otkaz, a zaposleno je dvoje novih zaposlenika na radnom mjestu Viši savjetnik 2</w:t>
      </w:r>
      <w:r w:rsidR="00900D95">
        <w:rPr>
          <w:bCs/>
        </w:rPr>
        <w:t xml:space="preserve"> sa višim koeficijentima</w:t>
      </w:r>
      <w:r w:rsidR="00BE7BEA">
        <w:rPr>
          <w:bCs/>
        </w:rPr>
        <w:t xml:space="preserve"> u istom odjelu.</w:t>
      </w:r>
    </w:p>
    <w:p w14:paraId="052BF10F" w14:textId="77777777" w:rsidR="00D24950" w:rsidRPr="00E739FB" w:rsidRDefault="00D24950" w:rsidP="001B342F">
      <w:pPr>
        <w:jc w:val="both"/>
        <w:rPr>
          <w:bCs/>
        </w:rPr>
      </w:pPr>
    </w:p>
    <w:p w14:paraId="4AC3F5FF" w14:textId="45EC651A" w:rsidR="000B55BA" w:rsidRPr="00E739FB" w:rsidRDefault="00816C9E" w:rsidP="001B342F">
      <w:pPr>
        <w:jc w:val="both"/>
        <w:rPr>
          <w:bCs/>
        </w:rPr>
      </w:pPr>
      <w:r w:rsidRPr="00E739FB">
        <w:rPr>
          <w:bCs/>
        </w:rPr>
        <w:t xml:space="preserve">Ostali rashodi za zaposlene povećani su za </w:t>
      </w:r>
      <w:r w:rsidR="00F52686" w:rsidRPr="00E739FB">
        <w:rPr>
          <w:bCs/>
        </w:rPr>
        <w:t>26,61</w:t>
      </w:r>
      <w:r w:rsidRPr="00E739FB">
        <w:rPr>
          <w:bCs/>
        </w:rPr>
        <w:t xml:space="preserve"> % u odnosu na prethodnu godinu</w:t>
      </w:r>
      <w:r w:rsidR="00784F4C" w:rsidRPr="00E739FB">
        <w:rPr>
          <w:bCs/>
        </w:rPr>
        <w:t xml:space="preserve"> </w:t>
      </w:r>
      <w:r w:rsidRPr="00E739FB">
        <w:rPr>
          <w:bCs/>
        </w:rPr>
        <w:t>sukladno</w:t>
      </w:r>
      <w:r w:rsidR="00270A37" w:rsidRPr="00E739FB">
        <w:rPr>
          <w:bCs/>
        </w:rPr>
        <w:t xml:space="preserve"> </w:t>
      </w:r>
      <w:r w:rsidRPr="00E739FB">
        <w:rPr>
          <w:bCs/>
        </w:rPr>
        <w:t>Temeljno</w:t>
      </w:r>
      <w:r w:rsidR="00270A37" w:rsidRPr="00E739FB">
        <w:rPr>
          <w:bCs/>
        </w:rPr>
        <w:t>m</w:t>
      </w:r>
      <w:r w:rsidRPr="00E739FB">
        <w:rPr>
          <w:bCs/>
        </w:rPr>
        <w:t xml:space="preserve"> kolektivno</w:t>
      </w:r>
      <w:r w:rsidR="00270A37" w:rsidRPr="00E739FB">
        <w:rPr>
          <w:bCs/>
        </w:rPr>
        <w:t>m</w:t>
      </w:r>
      <w:r w:rsidRPr="00E739FB">
        <w:rPr>
          <w:bCs/>
        </w:rPr>
        <w:t xml:space="preserve"> ugovor</w:t>
      </w:r>
      <w:r w:rsidR="00270A37" w:rsidRPr="00E739FB">
        <w:rPr>
          <w:bCs/>
        </w:rPr>
        <w:t>u</w:t>
      </w:r>
      <w:r w:rsidRPr="00E739FB">
        <w:rPr>
          <w:bCs/>
        </w:rPr>
        <w:t xml:space="preserve"> za </w:t>
      </w:r>
      <w:r w:rsidR="00270A37" w:rsidRPr="00E739FB">
        <w:rPr>
          <w:bCs/>
        </w:rPr>
        <w:t>zaposlenike</w:t>
      </w:r>
      <w:r w:rsidRPr="00E739FB">
        <w:rPr>
          <w:bCs/>
        </w:rPr>
        <w:t xml:space="preserve"> u javnim službama (NN 2</w:t>
      </w:r>
      <w:r w:rsidR="00270A37" w:rsidRPr="00E739FB">
        <w:rPr>
          <w:bCs/>
        </w:rPr>
        <w:t>9</w:t>
      </w:r>
      <w:r w:rsidRPr="00E739FB">
        <w:rPr>
          <w:bCs/>
        </w:rPr>
        <w:t>/2</w:t>
      </w:r>
      <w:r w:rsidR="00270A37" w:rsidRPr="00E739FB">
        <w:rPr>
          <w:bCs/>
        </w:rPr>
        <w:t>024</w:t>
      </w:r>
      <w:r w:rsidRPr="00E739FB">
        <w:rPr>
          <w:bCs/>
        </w:rPr>
        <w:t>).</w:t>
      </w:r>
    </w:p>
    <w:p w14:paraId="35B346AF" w14:textId="77777777" w:rsidR="00270A37" w:rsidRPr="00E739FB" w:rsidRDefault="00270A37" w:rsidP="001B342F">
      <w:pPr>
        <w:jc w:val="both"/>
        <w:rPr>
          <w:bCs/>
        </w:rPr>
      </w:pPr>
    </w:p>
    <w:p w14:paraId="032F0AE8" w14:textId="77777777" w:rsidR="00CD26E9" w:rsidRPr="00E739FB" w:rsidRDefault="00CD26E9" w:rsidP="001B342F">
      <w:pPr>
        <w:jc w:val="both"/>
        <w:rPr>
          <w:bCs/>
        </w:rPr>
      </w:pPr>
    </w:p>
    <w:p w14:paraId="3B28A728" w14:textId="77777777" w:rsidR="000B55BA" w:rsidRPr="00E739FB" w:rsidRDefault="000B55BA" w:rsidP="000B55BA">
      <w:pPr>
        <w:jc w:val="both"/>
        <w:rPr>
          <w:bCs/>
          <w:u w:val="single"/>
        </w:rPr>
      </w:pPr>
      <w:r w:rsidRPr="00E739FB">
        <w:rPr>
          <w:bCs/>
          <w:u w:val="single"/>
        </w:rPr>
        <w:t>32  Materijalni rashodi</w:t>
      </w:r>
    </w:p>
    <w:p w14:paraId="59A00F1D" w14:textId="77777777" w:rsidR="000B55BA" w:rsidRPr="00E739FB" w:rsidRDefault="000B55BA" w:rsidP="001B342F">
      <w:pPr>
        <w:jc w:val="both"/>
        <w:rPr>
          <w:bCs/>
        </w:rPr>
      </w:pPr>
    </w:p>
    <w:p w14:paraId="1E0EEEAB" w14:textId="3F86A361" w:rsidR="0079762F" w:rsidRPr="00E739FB" w:rsidRDefault="0079762F" w:rsidP="001B342F">
      <w:pPr>
        <w:jc w:val="both"/>
        <w:rPr>
          <w:bCs/>
        </w:rPr>
      </w:pPr>
      <w:r w:rsidRPr="00E739FB">
        <w:rPr>
          <w:bCs/>
        </w:rPr>
        <w:t xml:space="preserve">Materijalni rashodi </w:t>
      </w:r>
      <w:r w:rsidR="00F52686" w:rsidRPr="00E739FB">
        <w:rPr>
          <w:bCs/>
        </w:rPr>
        <w:t>povećani su</w:t>
      </w:r>
      <w:r w:rsidRPr="00E739FB">
        <w:rPr>
          <w:bCs/>
        </w:rPr>
        <w:t xml:space="preserve"> u odnosu na prethodnu godinu za 1</w:t>
      </w:r>
      <w:r w:rsidR="00F52686" w:rsidRPr="00E739FB">
        <w:rPr>
          <w:bCs/>
        </w:rPr>
        <w:t>7,87</w:t>
      </w:r>
      <w:r w:rsidRPr="00E739FB">
        <w:rPr>
          <w:bCs/>
        </w:rPr>
        <w:t xml:space="preserve"> %.</w:t>
      </w:r>
    </w:p>
    <w:p w14:paraId="3054D4BA" w14:textId="77777777" w:rsidR="00F52686" w:rsidRPr="00E739FB" w:rsidRDefault="00F52686" w:rsidP="001B342F">
      <w:pPr>
        <w:jc w:val="both"/>
      </w:pPr>
    </w:p>
    <w:p w14:paraId="2D857074" w14:textId="2B354B08" w:rsidR="001B342F" w:rsidRPr="00E739FB" w:rsidRDefault="001B342F" w:rsidP="001B342F">
      <w:pPr>
        <w:jc w:val="both"/>
      </w:pPr>
      <w:r w:rsidRPr="00E739FB">
        <w:t>Sukladno odredbama čl. 54. Zakona o radu (NN br. 93/14</w:t>
      </w:r>
      <w:r w:rsidR="000B55BA" w:rsidRPr="00E739FB">
        <w:t xml:space="preserve">, </w:t>
      </w:r>
      <w:r w:rsidRPr="00E739FB">
        <w:t>127/17</w:t>
      </w:r>
      <w:r w:rsidR="000B55BA" w:rsidRPr="00E739FB">
        <w:t>, 98/19</w:t>
      </w:r>
      <w:r w:rsidR="00F52686" w:rsidRPr="00E739FB">
        <w:t xml:space="preserve">, </w:t>
      </w:r>
      <w:r w:rsidR="000B55BA" w:rsidRPr="00E739FB">
        <w:t>151/22</w:t>
      </w:r>
      <w:r w:rsidR="00F52686" w:rsidRPr="00E739FB">
        <w:t>, 46/23 i 64/23</w:t>
      </w:r>
      <w:r w:rsidRPr="00E739FB">
        <w:t xml:space="preserve">) Ustanova je dužna radniku omogućiti školovanje, obrazovanje, osposobljavanje i usavršavanje u skladu s mogućnostima i potrebama rada. </w:t>
      </w:r>
      <w:r w:rsidR="00F52686" w:rsidRPr="00E739FB">
        <w:t xml:space="preserve"> </w:t>
      </w:r>
      <w:r w:rsidR="00A55905">
        <w:t>Rashodi za  stručno usavršavanje zaposlenika u odnosu na prethodnu godinu povećani su za 87,13%</w:t>
      </w:r>
      <w:r w:rsidR="007B4F41">
        <w:t>, a ukupno iznose 4.813,75 eura.</w:t>
      </w:r>
      <w:r w:rsidR="00A55905">
        <w:t xml:space="preserve"> </w:t>
      </w:r>
    </w:p>
    <w:p w14:paraId="06D1329F" w14:textId="77777777" w:rsidR="001B342F" w:rsidRPr="00E739FB" w:rsidRDefault="001B342F" w:rsidP="001B342F">
      <w:pPr>
        <w:jc w:val="both"/>
      </w:pPr>
    </w:p>
    <w:p w14:paraId="103E89E0" w14:textId="4983C4A4" w:rsidR="001B342F" w:rsidRPr="00E739FB" w:rsidRDefault="001B342F" w:rsidP="001B342F">
      <w:pPr>
        <w:jc w:val="both"/>
      </w:pPr>
      <w:r w:rsidRPr="00E739FB">
        <w:t>Rashodi za usluge promidžbe i informiranja u tekućoj godini</w:t>
      </w:r>
      <w:r w:rsidR="000D4566">
        <w:t xml:space="preserve"> iznosili su 26.184,71 eura, a</w:t>
      </w:r>
      <w:r w:rsidRPr="00E739FB">
        <w:t xml:space="preserve"> </w:t>
      </w:r>
      <w:r w:rsidR="00424F90" w:rsidRPr="00E739FB">
        <w:t>povećani</w:t>
      </w:r>
      <w:r w:rsidRPr="00E739FB">
        <w:t xml:space="preserve"> su u odnosu na prethodnu godinu</w:t>
      </w:r>
      <w:r w:rsidR="007B4F41">
        <w:t xml:space="preserve"> za 430,</w:t>
      </w:r>
      <w:r w:rsidR="000D4566">
        <w:t>14 %</w:t>
      </w:r>
      <w:r w:rsidR="003F4C1C">
        <w:t xml:space="preserve"> radi ovogodišnjeg održavanja </w:t>
      </w:r>
      <w:r w:rsidR="003F4C1C" w:rsidRPr="00E739FB">
        <w:t>2. Znanstveno-stručn</w:t>
      </w:r>
      <w:r w:rsidR="003F4C1C">
        <w:t>og</w:t>
      </w:r>
      <w:r w:rsidR="003F4C1C" w:rsidRPr="00E739FB">
        <w:t xml:space="preserve"> skup</w:t>
      </w:r>
      <w:r w:rsidR="003F4C1C">
        <w:t>a</w:t>
      </w:r>
      <w:r w:rsidR="003F4C1C" w:rsidRPr="00E739FB">
        <w:t xml:space="preserve"> „Zeleni dodir Medvednice“ </w:t>
      </w:r>
      <w:r w:rsidR="003F4C1C">
        <w:t>i ostalih promidžbenih aktivnosti koji uključuju</w:t>
      </w:r>
      <w:r w:rsidR="000F05A9">
        <w:t xml:space="preserve"> rashode za</w:t>
      </w:r>
      <w:r w:rsidR="003F4C1C">
        <w:t>:</w:t>
      </w:r>
    </w:p>
    <w:p w14:paraId="444104B4" w14:textId="77777777" w:rsidR="00424F90" w:rsidRPr="00E739FB" w:rsidRDefault="00424F90" w:rsidP="00424F90">
      <w:pPr>
        <w:pStyle w:val="ListParagraph"/>
        <w:numPr>
          <w:ilvl w:val="0"/>
          <w:numId w:val="10"/>
        </w:numPr>
        <w:jc w:val="both"/>
        <w:rPr>
          <w:noProof/>
        </w:rPr>
      </w:pPr>
      <w:r w:rsidRPr="00E739FB">
        <w:t>usluge promidžbe za  projekt „Medvednica-online“ što je djelomično financirano od Turističke zajednice grada Zagreba</w:t>
      </w:r>
    </w:p>
    <w:p w14:paraId="0D5E5937" w14:textId="77777777" w:rsidR="00424F90" w:rsidRPr="00E739FB" w:rsidRDefault="00424F90" w:rsidP="00424F90">
      <w:pPr>
        <w:pStyle w:val="ListParagraph"/>
        <w:numPr>
          <w:ilvl w:val="0"/>
          <w:numId w:val="10"/>
        </w:numPr>
        <w:jc w:val="both"/>
        <w:rPr>
          <w:noProof/>
        </w:rPr>
      </w:pPr>
      <w:r w:rsidRPr="00E739FB">
        <w:t>tiskanje dvojezičnih (hrvatski/engleski) turističkih blok karata što je djelomično financirano od Turističke zajednice grada Zagreba s ciljem približavanja posjetiteljima</w:t>
      </w:r>
    </w:p>
    <w:p w14:paraId="77915510" w14:textId="77777777" w:rsidR="00424F90" w:rsidRPr="00E739FB" w:rsidRDefault="00424F90" w:rsidP="00424F90">
      <w:pPr>
        <w:pStyle w:val="ListParagraph"/>
        <w:numPr>
          <w:ilvl w:val="0"/>
          <w:numId w:val="10"/>
        </w:numPr>
        <w:jc w:val="both"/>
        <w:rPr>
          <w:noProof/>
        </w:rPr>
      </w:pPr>
      <w:r w:rsidRPr="00E739FB">
        <w:t xml:space="preserve">pripreme za tisak i tiskanje „Plana upravljanja Parkom prirode Medvednica i pridruženim zaštićenim područjem ekološke mreže (PU 5000)“ </w:t>
      </w:r>
    </w:p>
    <w:p w14:paraId="1D794EF6" w14:textId="77777777" w:rsidR="00424F90" w:rsidRPr="0003374D" w:rsidRDefault="00424F90" w:rsidP="00424F90">
      <w:pPr>
        <w:pStyle w:val="ListParagraph"/>
        <w:numPr>
          <w:ilvl w:val="0"/>
          <w:numId w:val="10"/>
        </w:numPr>
        <w:jc w:val="both"/>
        <w:rPr>
          <w:noProof/>
        </w:rPr>
      </w:pPr>
      <w:r w:rsidRPr="0003374D">
        <w:t>priprema i tisak knjige sažetaka za 2. Znanstveno-stručni skup „Zeleni dodir Medvednice“ financirano od Turističke zajednice grada Zagreba</w:t>
      </w:r>
    </w:p>
    <w:p w14:paraId="51D6E87E" w14:textId="1CF0D013" w:rsidR="00424F90" w:rsidRPr="0003374D" w:rsidRDefault="00424F90" w:rsidP="00424F90">
      <w:pPr>
        <w:pStyle w:val="ListParagraph"/>
        <w:numPr>
          <w:ilvl w:val="0"/>
          <w:numId w:val="10"/>
        </w:numPr>
        <w:jc w:val="both"/>
        <w:rPr>
          <w:noProof/>
        </w:rPr>
      </w:pPr>
      <w:r w:rsidRPr="0003374D">
        <w:t>priprema za objavu na webu zbornika radova te promotiv</w:t>
      </w:r>
      <w:r w:rsidR="0021240F" w:rsidRPr="0003374D">
        <w:t>nog</w:t>
      </w:r>
      <w:r w:rsidRPr="0003374D">
        <w:t xml:space="preserve"> materijal</w:t>
      </w:r>
      <w:r w:rsidR="0021240F" w:rsidRPr="0003374D">
        <w:t>a</w:t>
      </w:r>
      <w:r w:rsidRPr="0003374D">
        <w:t xml:space="preserve"> za organizaciju 2. znanstveno-stručnog skupa „Zeleni dodir Medvednice“ djelomično financirano od Fonda za zaštitu okoliša i energetsku učinkovitost</w:t>
      </w:r>
    </w:p>
    <w:p w14:paraId="3CA1FB4C" w14:textId="77777777" w:rsidR="00424F90" w:rsidRPr="0003374D" w:rsidRDefault="00424F90" w:rsidP="00424F90">
      <w:pPr>
        <w:pStyle w:val="ListParagraph"/>
        <w:numPr>
          <w:ilvl w:val="0"/>
          <w:numId w:val="10"/>
        </w:numPr>
        <w:jc w:val="both"/>
        <w:rPr>
          <w:noProof/>
        </w:rPr>
      </w:pPr>
      <w:r w:rsidRPr="0003374D">
        <w:t xml:space="preserve">oglašavanje u </w:t>
      </w:r>
      <w:proofErr w:type="spellStart"/>
      <w:r w:rsidRPr="0003374D">
        <w:t>Oranž</w:t>
      </w:r>
      <w:proofErr w:type="spellEnd"/>
      <w:r w:rsidRPr="0003374D">
        <w:t xml:space="preserve"> klubu za digitalne pretplatnike 24sata d.o.o. sukladno ugovoru o oglašavanju  </w:t>
      </w:r>
    </w:p>
    <w:p w14:paraId="3F94D83B" w14:textId="72858C77" w:rsidR="00424F90" w:rsidRPr="00E739FB" w:rsidRDefault="00424F90" w:rsidP="001B342F">
      <w:pPr>
        <w:pStyle w:val="ListParagraph"/>
        <w:numPr>
          <w:ilvl w:val="0"/>
          <w:numId w:val="10"/>
        </w:numPr>
        <w:jc w:val="both"/>
        <w:rPr>
          <w:noProof/>
        </w:rPr>
      </w:pPr>
      <w:r w:rsidRPr="00E739FB">
        <w:t>objave oglasa za natječaje za radno mjesto.</w:t>
      </w:r>
    </w:p>
    <w:p w14:paraId="576F12EC" w14:textId="27A0DE73" w:rsidR="001B342F" w:rsidRPr="00E739FB" w:rsidRDefault="001B342F" w:rsidP="001B342F">
      <w:pPr>
        <w:jc w:val="both"/>
        <w:rPr>
          <w:u w:val="single"/>
        </w:rPr>
      </w:pPr>
    </w:p>
    <w:p w14:paraId="31B65858" w14:textId="61462707" w:rsidR="00A02EAC" w:rsidRPr="00E739FB" w:rsidRDefault="00A02EAC" w:rsidP="001B342F">
      <w:pPr>
        <w:jc w:val="both"/>
      </w:pPr>
      <w:r w:rsidRPr="00E739FB">
        <w:t>U tekućoj godini znatno su smanjeni rashodi za zdravstvene i veterinarske usluge i odnose se na cijepljenje jednog zaposlenika dok su u prethodnoj godini izvršeni sistematski pregledi za zaposlene temeljem Kolektivnog ugovora.</w:t>
      </w:r>
    </w:p>
    <w:p w14:paraId="25F9DFDD" w14:textId="77777777" w:rsidR="00023107" w:rsidRPr="00E739FB" w:rsidRDefault="00023107" w:rsidP="001B342F">
      <w:pPr>
        <w:jc w:val="both"/>
      </w:pPr>
    </w:p>
    <w:p w14:paraId="4AA2E3BC" w14:textId="36514A89" w:rsidR="00FB0F42" w:rsidRPr="00E739FB" w:rsidRDefault="00A02EAC" w:rsidP="001B342F">
      <w:pPr>
        <w:jc w:val="both"/>
      </w:pPr>
      <w:r w:rsidRPr="00E739FB">
        <w:t xml:space="preserve">Rashodi za računalne usluge </w:t>
      </w:r>
      <w:r w:rsidR="00023107" w:rsidRPr="00E739FB">
        <w:t xml:space="preserve">povećani su </w:t>
      </w:r>
      <w:r w:rsidRPr="00E739FB">
        <w:t>u tekućoj godini zbog uvođenja</w:t>
      </w:r>
      <w:r w:rsidR="000F05A9">
        <w:t xml:space="preserve"> novih</w:t>
      </w:r>
      <w:r w:rsidR="00735660">
        <w:t xml:space="preserve"> </w:t>
      </w:r>
      <w:r w:rsidR="000F05A9">
        <w:t>programskih rješenja u sustav</w:t>
      </w:r>
      <w:r w:rsidR="00735660">
        <w:t>u</w:t>
      </w:r>
      <w:r w:rsidRPr="00E739FB">
        <w:t xml:space="preserve"> uredskog poslovanja i povećanja broja korisnika </w:t>
      </w:r>
      <w:r w:rsidR="00735660">
        <w:t xml:space="preserve">istog </w:t>
      </w:r>
      <w:r w:rsidRPr="00E739FB">
        <w:t xml:space="preserve">programskog rješenja tvrtke </w:t>
      </w:r>
      <w:proofErr w:type="spellStart"/>
      <w:r w:rsidRPr="00E739FB">
        <w:t>Libusoft</w:t>
      </w:r>
      <w:proofErr w:type="spellEnd"/>
      <w:r w:rsidRPr="00E739FB">
        <w:t xml:space="preserve"> cicom d.o.o.</w:t>
      </w:r>
      <w:r w:rsidR="00735660">
        <w:t xml:space="preserve"> iz Zagreba.</w:t>
      </w:r>
    </w:p>
    <w:p w14:paraId="689DEFBC" w14:textId="1C8A962D" w:rsidR="00A02EAC" w:rsidRPr="00E739FB" w:rsidRDefault="00A02EAC" w:rsidP="001B342F">
      <w:pPr>
        <w:jc w:val="both"/>
      </w:pPr>
    </w:p>
    <w:p w14:paraId="558C65AB" w14:textId="444A76CC" w:rsidR="00A02EAC" w:rsidRPr="00E739FB" w:rsidRDefault="00A02EAC" w:rsidP="001B342F">
      <w:pPr>
        <w:jc w:val="both"/>
      </w:pPr>
      <w:r w:rsidRPr="00E739FB">
        <w:t>Rashodi za ostale usluge povećani su u tekućoj godini zbog organiziranja 2. Znanstveno-stručnog skupa „Zeleni dodir Medvednice“ djelomično financirano</w:t>
      </w:r>
      <w:r w:rsidR="00E12E90" w:rsidRPr="00E739FB">
        <w:t>g</w:t>
      </w:r>
      <w:r w:rsidRPr="00E739FB">
        <w:t xml:space="preserve"> od Fonda za zaštitu okoliša</w:t>
      </w:r>
      <w:r w:rsidR="00735660">
        <w:t xml:space="preserve"> i energetsku učinkovitost</w:t>
      </w:r>
      <w:r w:rsidRPr="00E739FB">
        <w:t>, obavljanja košnje i uklanjanja invazivnih i stranih vrsta na području Parka prirode Medvednica financirano od Zajedničkih sredstva parkova Hrvatske i povećanja cijena za usluge čuvanja imovine i osoba.</w:t>
      </w:r>
    </w:p>
    <w:p w14:paraId="4D388713" w14:textId="52F335D1" w:rsidR="001B342F" w:rsidRPr="00E739FB" w:rsidRDefault="001B342F" w:rsidP="001B342F">
      <w:pPr>
        <w:jc w:val="both"/>
        <w:rPr>
          <w:u w:val="single"/>
        </w:rPr>
      </w:pPr>
    </w:p>
    <w:p w14:paraId="4CC41A1F" w14:textId="5F1BA59D" w:rsidR="00023107" w:rsidRPr="00E739FB" w:rsidRDefault="00023107" w:rsidP="001B342F">
      <w:pPr>
        <w:jc w:val="both"/>
      </w:pPr>
      <w:r w:rsidRPr="00E739FB">
        <w:t>Naknade za rad predstavničkih i izvršnih tijela, povjerenstva i sl. povećane su u odnosu na prethodnu godinu</w:t>
      </w:r>
      <w:r w:rsidR="00A02EAC" w:rsidRPr="00E739FB">
        <w:t>.</w:t>
      </w:r>
      <w:r w:rsidRPr="00E739FB">
        <w:t xml:space="preserve"> </w:t>
      </w:r>
      <w:r w:rsidR="006A5717" w:rsidRPr="00E739FB">
        <w:t xml:space="preserve">Odlukom nadležnog ministra za zaštitu prirode o visini naknade za rad predsjednika i članova upravnih vijeća javnih ustanova za upravljanje nacionalnim parkovima i parkovima prirode, KLASA:352-02/2301/106, </w:t>
      </w:r>
      <w:r w:rsidR="006A5717" w:rsidRPr="00E739FB">
        <w:lastRenderedPageBreak/>
        <w:t>URBROJ: 517-10-2-23-1 od 19. srpnja 2023. godine, s primjenom od 1. kolovoza 2023. godine novi iznosi naknada se isplaćuju mjesečno.</w:t>
      </w:r>
      <w:r w:rsidR="00A02EAC" w:rsidRPr="00E739FB">
        <w:t xml:space="preserve"> U 2024. godini održano je 16 sjednica</w:t>
      </w:r>
      <w:r w:rsidR="001867F5">
        <w:t xml:space="preserve"> Upravnog vijeća Javne ustanove Park prirode Medvednica, dok je u 2023. godini održano </w:t>
      </w:r>
      <w:r w:rsidR="00203C9A">
        <w:t>14 sjednica.</w:t>
      </w:r>
    </w:p>
    <w:p w14:paraId="7B8A4E76" w14:textId="77777777" w:rsidR="00023107" w:rsidRPr="00E739FB" w:rsidRDefault="00023107" w:rsidP="001B342F">
      <w:pPr>
        <w:jc w:val="both"/>
      </w:pPr>
    </w:p>
    <w:p w14:paraId="0CA2D546" w14:textId="0FB5860C" w:rsidR="001B342F" w:rsidRPr="00E739FB" w:rsidRDefault="00023107" w:rsidP="001B342F">
      <w:pPr>
        <w:jc w:val="both"/>
      </w:pPr>
      <w:r w:rsidRPr="00E739FB">
        <w:t xml:space="preserve">Rashodi za pristojbe i naknade </w:t>
      </w:r>
      <w:r w:rsidR="006A7ADE" w:rsidRPr="00E739FB">
        <w:t xml:space="preserve">povećani su </w:t>
      </w:r>
      <w:r w:rsidRPr="00E739FB">
        <w:t>u tekućoj godini</w:t>
      </w:r>
      <w:r w:rsidR="006A7ADE" w:rsidRPr="00E739FB">
        <w:t xml:space="preserve"> jer</w:t>
      </w:r>
      <w:r w:rsidR="00A02EAC" w:rsidRPr="00E739FB">
        <w:t xml:space="preserve"> je plaćena naknada za prijavu i </w:t>
      </w:r>
      <w:r w:rsidR="001B1914" w:rsidRPr="00E739FB">
        <w:t>reevaluaciju</w:t>
      </w:r>
      <w:r w:rsidR="005162B5">
        <w:t xml:space="preserve"> </w:t>
      </w:r>
      <w:r w:rsidR="005162B5" w:rsidRPr="005162B5">
        <w:t xml:space="preserve">Europske povelje održivog turizma (European Charter for </w:t>
      </w:r>
      <w:proofErr w:type="spellStart"/>
      <w:r w:rsidR="005162B5" w:rsidRPr="005162B5">
        <w:t>Sustainable</w:t>
      </w:r>
      <w:proofErr w:type="spellEnd"/>
      <w:r w:rsidR="005162B5" w:rsidRPr="005162B5">
        <w:t xml:space="preserve"> </w:t>
      </w:r>
      <w:proofErr w:type="spellStart"/>
      <w:r w:rsidR="005162B5" w:rsidRPr="005162B5">
        <w:t>Tourism</w:t>
      </w:r>
      <w:proofErr w:type="spellEnd"/>
      <w:r w:rsidR="005162B5" w:rsidRPr="005162B5">
        <w:t xml:space="preserve"> – ECST</w:t>
      </w:r>
      <w:r w:rsidR="005162B5">
        <w:t>)</w:t>
      </w:r>
      <w:r w:rsidR="00A02EAC" w:rsidRPr="00E739FB">
        <w:t xml:space="preserve"> </w:t>
      </w:r>
      <w:r w:rsidR="005162B5">
        <w:t xml:space="preserve">Federacije </w:t>
      </w:r>
      <w:proofErr w:type="spellStart"/>
      <w:r w:rsidR="005162B5">
        <w:t>Europarc</w:t>
      </w:r>
      <w:proofErr w:type="spellEnd"/>
      <w:r w:rsidR="00A02EAC" w:rsidRPr="00E739FB">
        <w:t xml:space="preserve"> u iznosu</w:t>
      </w:r>
      <w:r w:rsidR="005162B5">
        <w:t xml:space="preserve"> od</w:t>
      </w:r>
      <w:r w:rsidR="00A02EAC" w:rsidRPr="00E739FB">
        <w:t xml:space="preserve"> 3.500,00 eura i</w:t>
      </w:r>
      <w:r w:rsidR="006A7ADE" w:rsidRPr="00E739FB">
        <w:t xml:space="preserve"> Ustanova s</w:t>
      </w:r>
      <w:r w:rsidR="001B342F" w:rsidRPr="00E739FB">
        <w:t xml:space="preserve">ukladno odredbama </w:t>
      </w:r>
      <w:r w:rsidR="001B342F" w:rsidRPr="00E739FB">
        <w:rPr>
          <w:shd w:val="clear" w:color="auto" w:fill="FFFFFF"/>
        </w:rPr>
        <w:t>Zakona o profesionalnoj rehabilitaciji i zapošljavanju osoba s invaliditetom (NN 157/13 – 32/20) plaća naknadu u slučaju ne zapošljavanja osoba s invaliditetom</w:t>
      </w:r>
      <w:r w:rsidR="006A5717" w:rsidRPr="00E739FB">
        <w:rPr>
          <w:shd w:val="clear" w:color="auto" w:fill="FFFFFF"/>
        </w:rPr>
        <w:t>, a iznos je povećan početkom 202</w:t>
      </w:r>
      <w:r w:rsidR="00A02EAC" w:rsidRPr="00E739FB">
        <w:rPr>
          <w:shd w:val="clear" w:color="auto" w:fill="FFFFFF"/>
        </w:rPr>
        <w:t>4</w:t>
      </w:r>
      <w:r w:rsidR="006A5717" w:rsidRPr="00E739FB">
        <w:rPr>
          <w:shd w:val="clear" w:color="auto" w:fill="FFFFFF"/>
        </w:rPr>
        <w:t>. godine.</w:t>
      </w:r>
    </w:p>
    <w:p w14:paraId="10CBBFFC" w14:textId="6D08C93A" w:rsidR="001B342F" w:rsidRPr="00E739FB" w:rsidRDefault="001B342F" w:rsidP="001B342F">
      <w:pPr>
        <w:jc w:val="both"/>
        <w:rPr>
          <w:u w:val="single"/>
        </w:rPr>
      </w:pPr>
    </w:p>
    <w:p w14:paraId="2CDAD3DC" w14:textId="3CB6292B" w:rsidR="008B5DB6" w:rsidRPr="00E739FB" w:rsidRDefault="001B342F" w:rsidP="008B5DB6">
      <w:pPr>
        <w:spacing w:line="276" w:lineRule="auto"/>
        <w:jc w:val="both"/>
        <w:rPr>
          <w:bCs/>
        </w:rPr>
      </w:pPr>
      <w:r w:rsidRPr="00E739FB">
        <w:t xml:space="preserve">Ostali nespomenuti rashodi poslovanja povećani su u odnosu na prethodnu </w:t>
      </w:r>
      <w:r w:rsidR="006A7ADE" w:rsidRPr="00E739FB">
        <w:t>godinu</w:t>
      </w:r>
      <w:r w:rsidRPr="00E739FB">
        <w:t xml:space="preserve"> </w:t>
      </w:r>
      <w:r w:rsidR="008B5DB6" w:rsidRPr="00E739FB">
        <w:t>zbog povrata uplate od 6.923,10 eura Zajedničkim sredstvima parkova Hrvatske</w:t>
      </w:r>
      <w:r w:rsidR="006B35A6">
        <w:t xml:space="preserve"> koji su financirali neprihvatljive troškove projekta, a</w:t>
      </w:r>
      <w:r w:rsidR="008B5DB6" w:rsidRPr="00E739FB">
        <w:t xml:space="preserve"> </w:t>
      </w:r>
      <w:r w:rsidR="008B5DB6" w:rsidRPr="00E739FB">
        <w:rPr>
          <w:bCs/>
        </w:rPr>
        <w:t xml:space="preserve">prema Zahtjevu za plaćanje br. 16 za projekt „Poboljšanje </w:t>
      </w:r>
      <w:proofErr w:type="spellStart"/>
      <w:r w:rsidR="008B5DB6" w:rsidRPr="00E739FB">
        <w:rPr>
          <w:bCs/>
        </w:rPr>
        <w:t>posjetiteljskog</w:t>
      </w:r>
      <w:proofErr w:type="spellEnd"/>
      <w:r w:rsidR="008B5DB6" w:rsidRPr="00E739FB">
        <w:rPr>
          <w:bCs/>
        </w:rPr>
        <w:t xml:space="preserve"> kapaciteta u svrhu održivog upravljanja Parkom prirode Medvednica“ KK.06.1.2.01.0012. i smanjenja konačne stope pretporeza poreza PDV-a za 2024. godinu. Obzirom da je Ustanova potraživala sredstva za nadoknadu financijske korekcije temeljem Odluke IRR04, ista sredstva su dobivena temeljem Odluke o dodjeli sredstava, KLASA:612-07/17-09/27, URBROJ: 517-05-2-1-21-29, od 3. ožujka 2021. godine iz Zajedničkih sredstava parkova Hrvatske. Kako je poništena Odluka o nepravilnosti ista sredstva morala su se vratiti u Državni proračun radi izbjegavanja dvostrukog financiranja. </w:t>
      </w:r>
    </w:p>
    <w:p w14:paraId="7198743A" w14:textId="77777777" w:rsidR="001B342F" w:rsidRPr="00E739FB" w:rsidRDefault="001B342F" w:rsidP="001B342F">
      <w:pPr>
        <w:spacing w:line="276" w:lineRule="auto"/>
        <w:jc w:val="both"/>
        <w:rPr>
          <w:rFonts w:eastAsiaTheme="minorHAnsi"/>
        </w:rPr>
      </w:pPr>
    </w:p>
    <w:p w14:paraId="35F029D6" w14:textId="77777777" w:rsidR="00CD26E9" w:rsidRPr="00E739FB" w:rsidRDefault="00CD26E9" w:rsidP="001B342F">
      <w:pPr>
        <w:spacing w:line="276" w:lineRule="auto"/>
        <w:jc w:val="both"/>
        <w:rPr>
          <w:rFonts w:eastAsiaTheme="minorHAnsi"/>
        </w:rPr>
      </w:pPr>
    </w:p>
    <w:p w14:paraId="1EAB74F3" w14:textId="3AFB87FF" w:rsidR="00D24950" w:rsidRPr="00E739FB" w:rsidRDefault="008502D8" w:rsidP="001B342F">
      <w:pPr>
        <w:spacing w:line="276" w:lineRule="auto"/>
        <w:jc w:val="both"/>
        <w:rPr>
          <w:rFonts w:eastAsiaTheme="minorHAnsi"/>
          <w:u w:val="single"/>
        </w:rPr>
      </w:pPr>
      <w:r w:rsidRPr="00E739FB">
        <w:rPr>
          <w:rFonts w:eastAsiaTheme="minorHAnsi"/>
          <w:u w:val="single"/>
        </w:rPr>
        <w:t>36  Pomoći dane u inozemstvo i unutar općeg proračuna</w:t>
      </w:r>
    </w:p>
    <w:p w14:paraId="754AC81A" w14:textId="77777777" w:rsidR="001B342F" w:rsidRPr="00E739FB" w:rsidRDefault="001B342F" w:rsidP="001B342F">
      <w:pPr>
        <w:jc w:val="both"/>
      </w:pPr>
    </w:p>
    <w:p w14:paraId="5DA63B9A" w14:textId="7558EE1B" w:rsidR="008B5DB6" w:rsidRPr="00E739FB" w:rsidRDefault="008B5DB6" w:rsidP="001B342F">
      <w:pPr>
        <w:jc w:val="both"/>
      </w:pPr>
      <w:r w:rsidRPr="00E739FB">
        <w:t xml:space="preserve">Stavka uključuje obvezu uplate 3% primljenih sredstava sukladno Pravilniku o mjerilima i načinu korištenja nenamjenskih donacija i vlastitih prihoda javnih ustanova koje upravljaju nacionalnim parkovima i parkovima prirode (NN 111/2022) na ostvarene prihode od pružanja usluga i ostalih prihoda po posebnim propisima (prihodi od ulaznica).  </w:t>
      </w:r>
    </w:p>
    <w:p w14:paraId="3ED11E17" w14:textId="77777777" w:rsidR="008B5DB6" w:rsidRPr="00E739FB" w:rsidRDefault="008B5DB6" w:rsidP="001B342F">
      <w:pPr>
        <w:jc w:val="both"/>
      </w:pPr>
    </w:p>
    <w:p w14:paraId="705CB3D4" w14:textId="77777777" w:rsidR="008B5DB6" w:rsidRPr="00E739FB" w:rsidRDefault="008B5DB6" w:rsidP="001B342F">
      <w:pPr>
        <w:jc w:val="both"/>
      </w:pPr>
    </w:p>
    <w:p w14:paraId="0FAB7FD3" w14:textId="3DE4E0F0" w:rsidR="00D24950" w:rsidRPr="00E739FB" w:rsidRDefault="008502D8" w:rsidP="001B342F">
      <w:pPr>
        <w:rPr>
          <w:u w:val="single"/>
        </w:rPr>
      </w:pPr>
      <w:r w:rsidRPr="00E739FB">
        <w:rPr>
          <w:u w:val="single"/>
        </w:rPr>
        <w:t xml:space="preserve">41  Rashodi za nabavu </w:t>
      </w:r>
      <w:proofErr w:type="spellStart"/>
      <w:r w:rsidRPr="00E739FB">
        <w:rPr>
          <w:u w:val="single"/>
        </w:rPr>
        <w:t>neproizvedene</w:t>
      </w:r>
      <w:proofErr w:type="spellEnd"/>
      <w:r w:rsidRPr="00E739FB">
        <w:rPr>
          <w:u w:val="single"/>
        </w:rPr>
        <w:t xml:space="preserve"> dugotrajne imovine</w:t>
      </w:r>
    </w:p>
    <w:p w14:paraId="12975E52" w14:textId="6CBE4CE5" w:rsidR="00D24950" w:rsidRPr="00E739FB" w:rsidRDefault="008502D8" w:rsidP="001B342F">
      <w:pPr>
        <w:jc w:val="both"/>
        <w:rPr>
          <w:u w:val="single"/>
        </w:rPr>
      </w:pPr>
      <w:bookmarkStart w:id="0" w:name="_Hlk45184796"/>
      <w:r w:rsidRPr="00E739FB">
        <w:rPr>
          <w:u w:val="single"/>
        </w:rPr>
        <w:t xml:space="preserve"> </w:t>
      </w:r>
    </w:p>
    <w:p w14:paraId="444983FF" w14:textId="41E440B8" w:rsidR="008B5DB6" w:rsidRPr="00E739FB" w:rsidRDefault="008B5DB6" w:rsidP="001B342F">
      <w:pPr>
        <w:jc w:val="both"/>
      </w:pPr>
      <w:r w:rsidRPr="00E739FB">
        <w:t>U tekućoj godini povećani su r</w:t>
      </w:r>
      <w:r w:rsidR="00C410B4" w:rsidRPr="00E739FB">
        <w:t xml:space="preserve">ashodi za nabavu </w:t>
      </w:r>
      <w:r w:rsidRPr="00E739FB">
        <w:t xml:space="preserve">ostale prirodne materijalne imovine za ulaganja temeljem </w:t>
      </w:r>
      <w:r w:rsidR="00E94517">
        <w:t>U</w:t>
      </w:r>
      <w:r w:rsidRPr="00E739FB">
        <w:t>govora o uređenju zaštićenog kulturnog dobra „Rudarski vrt i Rudnik Zrinski“ čiju izradu sufinancira Grad Zagreb.</w:t>
      </w:r>
    </w:p>
    <w:bookmarkEnd w:id="0"/>
    <w:p w14:paraId="7369D7A0" w14:textId="77777777" w:rsidR="00D24950" w:rsidRPr="00E739FB" w:rsidRDefault="00D24950" w:rsidP="001B342F"/>
    <w:p w14:paraId="24247D4D" w14:textId="77777777" w:rsidR="008B5DB6" w:rsidRPr="00E739FB" w:rsidRDefault="008B5DB6" w:rsidP="001B342F"/>
    <w:p w14:paraId="1D0F04FF" w14:textId="4F899F83" w:rsidR="00D24950" w:rsidRPr="00E739FB" w:rsidRDefault="008502D8" w:rsidP="001B342F">
      <w:pPr>
        <w:rPr>
          <w:u w:val="single"/>
        </w:rPr>
      </w:pPr>
      <w:r w:rsidRPr="00E739FB">
        <w:rPr>
          <w:u w:val="single"/>
        </w:rPr>
        <w:t>42  Rashodi za nabavu proizvedene dugotrajne imovine</w:t>
      </w:r>
    </w:p>
    <w:p w14:paraId="1F6A976B" w14:textId="77777777" w:rsidR="00FA361D" w:rsidRPr="00E739FB" w:rsidRDefault="00FA361D" w:rsidP="005600CB">
      <w:pPr>
        <w:jc w:val="both"/>
      </w:pPr>
    </w:p>
    <w:p w14:paraId="2670B8EB" w14:textId="29A73D62" w:rsidR="00FA361D" w:rsidRPr="00E739FB" w:rsidRDefault="00053303" w:rsidP="005600CB">
      <w:pPr>
        <w:jc w:val="both"/>
      </w:pPr>
      <w:r w:rsidRPr="00E739FB">
        <w:t>U tekućoj godini plaćeni su rashodi za o</w:t>
      </w:r>
      <w:r w:rsidR="00FA361D" w:rsidRPr="00E739FB">
        <w:t>stal</w:t>
      </w:r>
      <w:r w:rsidRPr="00E739FB">
        <w:t>e</w:t>
      </w:r>
      <w:r w:rsidR="00FA361D" w:rsidRPr="00E739FB">
        <w:t xml:space="preserve"> građevinsk</w:t>
      </w:r>
      <w:r w:rsidRPr="00E739FB">
        <w:t>e</w:t>
      </w:r>
      <w:r w:rsidR="00FA361D" w:rsidRPr="00E739FB">
        <w:t xml:space="preserve"> objekt</w:t>
      </w:r>
      <w:r w:rsidRPr="00E739FB">
        <w:t>e</w:t>
      </w:r>
      <w:r w:rsidR="00880FCC" w:rsidRPr="00E739FB">
        <w:t xml:space="preserve"> </w:t>
      </w:r>
      <w:r w:rsidRPr="00E739FB">
        <w:t>z</w:t>
      </w:r>
      <w:r w:rsidR="00FA361D" w:rsidRPr="00E739FB">
        <w:t>a izgradnju integrirane fotonaponske elektrane na Centru za posjetitelje Medvedgrad.</w:t>
      </w:r>
    </w:p>
    <w:p w14:paraId="425B0C6E" w14:textId="77777777" w:rsidR="00FA361D" w:rsidRPr="00E739FB" w:rsidRDefault="00FA361D" w:rsidP="005600CB">
      <w:pPr>
        <w:jc w:val="both"/>
      </w:pPr>
    </w:p>
    <w:p w14:paraId="33875D4A" w14:textId="1FAAB262" w:rsidR="00FA361D" w:rsidRPr="00E739FB" w:rsidRDefault="00880FCC" w:rsidP="005600CB">
      <w:pPr>
        <w:jc w:val="both"/>
      </w:pPr>
      <w:r w:rsidRPr="00E739FB">
        <w:t>R</w:t>
      </w:r>
      <w:r w:rsidR="00FA361D" w:rsidRPr="00E739FB">
        <w:t>ashodi za uredsku opremu i namještaj</w:t>
      </w:r>
      <w:r w:rsidRPr="00E739FB">
        <w:t xml:space="preserve"> povećani su u tekućoj godini</w:t>
      </w:r>
      <w:r w:rsidR="00053303" w:rsidRPr="00E739FB">
        <w:t xml:space="preserve"> jer su za potrebe redovnog poslovanja nabavljena računala, printer</w:t>
      </w:r>
      <w:r w:rsidR="00E94517">
        <w:t xml:space="preserve">, </w:t>
      </w:r>
      <w:r w:rsidR="00053303" w:rsidRPr="00E739FB">
        <w:t>ormar</w:t>
      </w:r>
      <w:r w:rsidR="00E94517">
        <w:t xml:space="preserve"> i uredske stolice</w:t>
      </w:r>
      <w:r w:rsidR="00421D28">
        <w:t xml:space="preserve"> za zaposlenike</w:t>
      </w:r>
      <w:r w:rsidR="00053303" w:rsidRPr="00E739FB">
        <w:t>.</w:t>
      </w:r>
    </w:p>
    <w:p w14:paraId="0247F357" w14:textId="77777777" w:rsidR="00FA361D" w:rsidRPr="00E739FB" w:rsidRDefault="00FA361D" w:rsidP="005600CB">
      <w:pPr>
        <w:jc w:val="both"/>
      </w:pPr>
    </w:p>
    <w:p w14:paraId="073A3A06" w14:textId="65E7265E" w:rsidR="00053303" w:rsidRPr="00E739FB" w:rsidRDefault="00053303" w:rsidP="005600CB">
      <w:pPr>
        <w:jc w:val="both"/>
      </w:pPr>
      <w:r w:rsidRPr="00E739FB">
        <w:t>U tekućoj godini plaćeni su rashodi za opremu za održavanje i zaštitu za uređenje zaštićenog kulturnog dobra „Rudarski vrt i Rudnik Zrinski“ sufinancirano od Grada Zagreba.</w:t>
      </w:r>
    </w:p>
    <w:p w14:paraId="12CFEDE9" w14:textId="77777777" w:rsidR="00FA361D" w:rsidRPr="00E739FB" w:rsidRDefault="00FA361D" w:rsidP="005600CB">
      <w:pPr>
        <w:jc w:val="both"/>
      </w:pPr>
    </w:p>
    <w:p w14:paraId="54C7ECDE" w14:textId="0AC62B75" w:rsidR="00053303" w:rsidRPr="00E739FB" w:rsidRDefault="00053303" w:rsidP="005600CB">
      <w:pPr>
        <w:jc w:val="both"/>
      </w:pPr>
      <w:r w:rsidRPr="00E739FB">
        <w:t>Plaćeni rashodi za instrumente, uređaje i strojeve najvećim dijelom se odnose na dobavu instrumenata i uređaja za stalno praćenje mikroklimatskih parametara u špilji Veternici financirano od Zajedničkih sredstva parkova Hrvatske.</w:t>
      </w:r>
    </w:p>
    <w:p w14:paraId="71C186CE" w14:textId="77777777" w:rsidR="00053303" w:rsidRPr="00E739FB" w:rsidRDefault="00053303" w:rsidP="005600CB">
      <w:pPr>
        <w:jc w:val="both"/>
      </w:pPr>
    </w:p>
    <w:p w14:paraId="4B858779" w14:textId="0CAFF69C" w:rsidR="00FE306D" w:rsidRPr="00E739FB" w:rsidRDefault="00053303" w:rsidP="00C410B4">
      <w:pPr>
        <w:jc w:val="both"/>
      </w:pPr>
      <w:r w:rsidRPr="00E739FB">
        <w:t>Ulaganja u računalne programe odnose se na računalne programe za novo nabavljena računala.</w:t>
      </w:r>
    </w:p>
    <w:p w14:paraId="3C5BCC57" w14:textId="77777777" w:rsidR="00053303" w:rsidRPr="00E739FB" w:rsidRDefault="00053303" w:rsidP="00C410B4">
      <w:pPr>
        <w:jc w:val="both"/>
        <w:rPr>
          <w:color w:val="FF0000"/>
        </w:rPr>
      </w:pPr>
    </w:p>
    <w:p w14:paraId="69E2B8A4" w14:textId="77777777" w:rsidR="0006222C" w:rsidRPr="00E739FB" w:rsidRDefault="0006222C" w:rsidP="00C410B4">
      <w:pPr>
        <w:jc w:val="both"/>
      </w:pPr>
    </w:p>
    <w:p w14:paraId="529DA8D8" w14:textId="588612DB" w:rsidR="00BB5A3E" w:rsidRPr="00E739FB" w:rsidRDefault="00F35CBC" w:rsidP="00C410B4">
      <w:pPr>
        <w:jc w:val="both"/>
        <w:rPr>
          <w:b/>
          <w:bCs/>
        </w:rPr>
      </w:pPr>
      <w:r w:rsidRPr="00E739FB">
        <w:rPr>
          <w:b/>
          <w:bCs/>
        </w:rPr>
        <w:t>Rashodi prema izvorima financiranja</w:t>
      </w:r>
    </w:p>
    <w:p w14:paraId="1A883026" w14:textId="77777777" w:rsidR="00BB5A3E" w:rsidRPr="00E739FB" w:rsidRDefault="00BB5A3E" w:rsidP="00C410B4">
      <w:pPr>
        <w:jc w:val="both"/>
      </w:pPr>
    </w:p>
    <w:p w14:paraId="178C1737" w14:textId="433AA89C" w:rsidR="00C74915" w:rsidRPr="00E739FB" w:rsidRDefault="00C74915" w:rsidP="00C74915">
      <w:pPr>
        <w:jc w:val="both"/>
      </w:pPr>
      <w:r w:rsidRPr="00E739FB">
        <w:t>Od ukupno izvršenih rashoda u 202</w:t>
      </w:r>
      <w:r w:rsidR="008B5DB6" w:rsidRPr="00E739FB">
        <w:t>4</w:t>
      </w:r>
      <w:r w:rsidRPr="00E739FB">
        <w:t xml:space="preserve">. godini najveći iznos od </w:t>
      </w:r>
      <w:r w:rsidR="008B5DB6" w:rsidRPr="00E739FB">
        <w:t>706.038,66</w:t>
      </w:r>
      <w:r w:rsidRPr="00E739FB">
        <w:t xml:space="preserve"> eura financirano</w:t>
      </w:r>
      <w:r w:rsidR="008B5DB6" w:rsidRPr="00E739FB">
        <w:t xml:space="preserve"> je</w:t>
      </w:r>
      <w:r w:rsidRPr="00E739FB">
        <w:t xml:space="preserve"> iz izvora 1</w:t>
      </w:r>
      <w:r w:rsidR="00E12E90" w:rsidRPr="00E739FB">
        <w:t>.</w:t>
      </w:r>
      <w:r w:rsidRPr="00E739FB">
        <w:t>1</w:t>
      </w:r>
      <w:r w:rsidR="00E12E90" w:rsidRPr="00E739FB">
        <w:t>.</w:t>
      </w:r>
      <w:r w:rsidRPr="00E739FB">
        <w:t xml:space="preserve"> Opći prihodi i primici. Iz izvora 4</w:t>
      </w:r>
      <w:r w:rsidR="00E12E90" w:rsidRPr="00E739FB">
        <w:t>.</w:t>
      </w:r>
      <w:r w:rsidRPr="00E739FB">
        <w:t>3</w:t>
      </w:r>
      <w:r w:rsidR="00E12E90" w:rsidRPr="00E739FB">
        <w:t>.</w:t>
      </w:r>
      <w:r w:rsidRPr="00E739FB">
        <w:t xml:space="preserve"> Ostali prihodi za posebne namjene financirano je 1</w:t>
      </w:r>
      <w:r w:rsidR="008B5DB6" w:rsidRPr="00E739FB">
        <w:t>71.847,33</w:t>
      </w:r>
      <w:r w:rsidRPr="00E739FB">
        <w:t xml:space="preserve"> eura izvršenih rashoda,</w:t>
      </w:r>
      <w:r w:rsidR="00880FCC" w:rsidRPr="00E739FB">
        <w:t xml:space="preserve"> a</w:t>
      </w:r>
      <w:r w:rsidRPr="00E739FB">
        <w:t xml:space="preserve"> iz izvora 3</w:t>
      </w:r>
      <w:r w:rsidR="00E12E90" w:rsidRPr="00E739FB">
        <w:t>.</w:t>
      </w:r>
      <w:r w:rsidRPr="00E739FB">
        <w:t>1</w:t>
      </w:r>
      <w:r w:rsidR="00E12E90" w:rsidRPr="00E739FB">
        <w:t>.</w:t>
      </w:r>
      <w:r w:rsidRPr="00E739FB">
        <w:t xml:space="preserve"> Vlastiti prihoda financirano je </w:t>
      </w:r>
      <w:r w:rsidR="008B5DB6" w:rsidRPr="00E739FB">
        <w:t>114.035,19</w:t>
      </w:r>
      <w:r w:rsidRPr="00E739FB">
        <w:t xml:space="preserve"> eura izvršenih rashoda</w:t>
      </w:r>
      <w:r w:rsidR="00880FCC" w:rsidRPr="00E739FB">
        <w:t>.</w:t>
      </w:r>
    </w:p>
    <w:p w14:paraId="4A8C1B72" w14:textId="77777777" w:rsidR="00C74915" w:rsidRPr="00E739FB" w:rsidRDefault="00C74915" w:rsidP="00C410B4">
      <w:pPr>
        <w:jc w:val="both"/>
      </w:pPr>
    </w:p>
    <w:p w14:paraId="67D35DEA" w14:textId="514D1499" w:rsidR="0006222C" w:rsidRPr="00E739FB" w:rsidRDefault="0006222C" w:rsidP="00C410B4">
      <w:pPr>
        <w:jc w:val="both"/>
      </w:pPr>
    </w:p>
    <w:p w14:paraId="5B3087B1" w14:textId="05196E76" w:rsidR="00BB5A3E" w:rsidRPr="00E739FB" w:rsidRDefault="00F35CBC" w:rsidP="00C410B4">
      <w:pPr>
        <w:jc w:val="both"/>
        <w:rPr>
          <w:b/>
          <w:bCs/>
        </w:rPr>
      </w:pPr>
      <w:r w:rsidRPr="00E739FB">
        <w:rPr>
          <w:b/>
          <w:bCs/>
        </w:rPr>
        <w:t>Rashodi prema funkcijskoj klasifikaciji</w:t>
      </w:r>
    </w:p>
    <w:p w14:paraId="47292698" w14:textId="77777777" w:rsidR="00C410B4" w:rsidRPr="00E739FB" w:rsidRDefault="00C410B4" w:rsidP="001B342F">
      <w:pPr>
        <w:jc w:val="both"/>
      </w:pPr>
    </w:p>
    <w:p w14:paraId="168EF27B" w14:textId="0AABDE09" w:rsidR="00296B10" w:rsidRPr="00E739FB" w:rsidRDefault="00296B10" w:rsidP="001B342F">
      <w:pPr>
        <w:jc w:val="both"/>
      </w:pPr>
      <w:r w:rsidRPr="00E739FB">
        <w:t>Rashodi prema funkcijskoj klasifikaciji u 202</w:t>
      </w:r>
      <w:r w:rsidR="008B5DB6" w:rsidRPr="00E739FB">
        <w:t>4</w:t>
      </w:r>
      <w:r w:rsidRPr="00E739FB">
        <w:t>. godini ostvareni su za</w:t>
      </w:r>
      <w:r w:rsidR="00AB21D3" w:rsidRPr="00E739FB">
        <w:t xml:space="preserve"> </w:t>
      </w:r>
      <w:r w:rsidRPr="00E739FB">
        <w:t xml:space="preserve">05 </w:t>
      </w:r>
      <w:r w:rsidR="004E314B" w:rsidRPr="00E739FB">
        <w:t>Z</w:t>
      </w:r>
      <w:r w:rsidRPr="00E739FB">
        <w:t>aštitu okoliša</w:t>
      </w:r>
      <w:r w:rsidR="00AB21D3" w:rsidRPr="00E739FB">
        <w:t xml:space="preserve"> -</w:t>
      </w:r>
      <w:r w:rsidRPr="00E739FB">
        <w:t xml:space="preserve"> 0540 </w:t>
      </w:r>
      <w:r w:rsidR="004E314B" w:rsidRPr="00E739FB">
        <w:t>Z</w:t>
      </w:r>
      <w:r w:rsidRPr="00E739FB">
        <w:t>aštitu bioraznolikosti i krajolika.</w:t>
      </w:r>
    </w:p>
    <w:p w14:paraId="6CAC66FA" w14:textId="77777777" w:rsidR="00296B10" w:rsidRPr="00E739FB" w:rsidRDefault="00296B10" w:rsidP="001B342F">
      <w:pPr>
        <w:jc w:val="both"/>
      </w:pPr>
    </w:p>
    <w:p w14:paraId="39E04E78" w14:textId="77777777" w:rsidR="000E5202" w:rsidRPr="00771B92" w:rsidRDefault="000E5202" w:rsidP="000E5202">
      <w:pPr>
        <w:pStyle w:val="ListParagraph"/>
        <w:numPr>
          <w:ilvl w:val="2"/>
          <w:numId w:val="5"/>
        </w:numPr>
        <w:jc w:val="both"/>
        <w:rPr>
          <w:b/>
          <w:bCs/>
        </w:rPr>
      </w:pPr>
      <w:r w:rsidRPr="00771B92">
        <w:rPr>
          <w:b/>
          <w:bCs/>
        </w:rPr>
        <w:t>Račun financiranja</w:t>
      </w:r>
    </w:p>
    <w:p w14:paraId="6D2F2C8E" w14:textId="77777777" w:rsidR="000E5202" w:rsidRPr="00771B92" w:rsidRDefault="000E5202" w:rsidP="000E5202">
      <w:pPr>
        <w:jc w:val="both"/>
      </w:pPr>
    </w:p>
    <w:p w14:paraId="45CD310E" w14:textId="77777777" w:rsidR="000E5202" w:rsidRDefault="000E5202" w:rsidP="000E5202">
      <w:pPr>
        <w:jc w:val="both"/>
      </w:pPr>
      <w:r w:rsidRPr="00771B92">
        <w:t>Račun financiranja prema ekonomskoj klasifikaciji i izvorima financiranja nije popunjen jer nema ostvarenih prihoda na razredu 8. Primici od financijske imovine i zaduživanja i rashoda na razredu 5. Izdaci za financijsku imovinu i otplatu zajmova.</w:t>
      </w:r>
    </w:p>
    <w:p w14:paraId="06EAB1B0" w14:textId="77777777" w:rsidR="0067096D" w:rsidRPr="00E739FB" w:rsidRDefault="0067096D" w:rsidP="00E76E25">
      <w:pPr>
        <w:jc w:val="both"/>
        <w:rPr>
          <w:bCs/>
        </w:rPr>
      </w:pPr>
    </w:p>
    <w:p w14:paraId="487DE6BB" w14:textId="576815CB" w:rsidR="0067096D" w:rsidRPr="00E739FB" w:rsidRDefault="0067096D" w:rsidP="00771B92">
      <w:pPr>
        <w:pStyle w:val="ListParagraph"/>
        <w:numPr>
          <w:ilvl w:val="2"/>
          <w:numId w:val="5"/>
        </w:numPr>
        <w:jc w:val="both"/>
        <w:rPr>
          <w:b/>
        </w:rPr>
      </w:pPr>
      <w:r w:rsidRPr="00E739FB">
        <w:rPr>
          <w:b/>
        </w:rPr>
        <w:t>Stanje novčanih sredstava na računima na početku i na kraju izvještajnog razdoblja</w:t>
      </w:r>
    </w:p>
    <w:p w14:paraId="4CE540EB" w14:textId="77777777" w:rsidR="000C4DDD" w:rsidRPr="00E739FB" w:rsidRDefault="000C4DDD" w:rsidP="00E76E25">
      <w:pPr>
        <w:jc w:val="both"/>
        <w:rPr>
          <w:bCs/>
        </w:rPr>
      </w:pPr>
    </w:p>
    <w:p w14:paraId="7027F7F1" w14:textId="7E7BEE69" w:rsidR="00777B3B" w:rsidRPr="00E739FB" w:rsidRDefault="006E5DC6" w:rsidP="00E36084">
      <w:pPr>
        <w:jc w:val="both"/>
        <w:rPr>
          <w:bCs/>
        </w:rPr>
      </w:pPr>
      <w:r w:rsidRPr="00E739FB">
        <w:rPr>
          <w:bCs/>
        </w:rPr>
        <w:t xml:space="preserve">Tablica </w:t>
      </w:r>
      <w:r w:rsidR="00E12E90" w:rsidRPr="00E739FB">
        <w:rPr>
          <w:bCs/>
        </w:rPr>
        <w:t>1</w:t>
      </w:r>
      <w:r w:rsidRPr="00E739FB">
        <w:rPr>
          <w:bCs/>
        </w:rPr>
        <w:t xml:space="preserve">. </w:t>
      </w:r>
      <w:r w:rsidR="000C4DDD" w:rsidRPr="00E739FB">
        <w:rPr>
          <w:bCs/>
        </w:rPr>
        <w:t xml:space="preserve">Stanje </w:t>
      </w:r>
      <w:r w:rsidR="00E36084" w:rsidRPr="00E739FB">
        <w:rPr>
          <w:bCs/>
        </w:rPr>
        <w:t xml:space="preserve">novčanih </w:t>
      </w:r>
      <w:r w:rsidR="000C4DDD" w:rsidRPr="00E739FB">
        <w:rPr>
          <w:bCs/>
        </w:rPr>
        <w:t xml:space="preserve">sredstava na računima Javne ustanove Park prirode Medvednica </w:t>
      </w:r>
      <w:r w:rsidR="00E36084" w:rsidRPr="00E739FB">
        <w:rPr>
          <w:bCs/>
        </w:rPr>
        <w:t>na početku i na kraju izvještajnoj razdoblja</w:t>
      </w:r>
    </w:p>
    <w:p w14:paraId="600D9F62" w14:textId="77777777" w:rsidR="00E36084" w:rsidRPr="00E739FB" w:rsidRDefault="00E36084" w:rsidP="000C4DDD">
      <w:pPr>
        <w:ind w:left="360"/>
        <w:jc w:val="both"/>
        <w:rPr>
          <w:bCs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4360"/>
        <w:gridCol w:w="2520"/>
        <w:gridCol w:w="2780"/>
      </w:tblGrid>
      <w:tr w:rsidR="003B09E8" w:rsidRPr="00E739FB" w14:paraId="399A7AA7" w14:textId="77777777" w:rsidTr="009B23A7">
        <w:trPr>
          <w:trHeight w:val="1056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403EFC" w14:textId="77777777" w:rsidR="005000BD" w:rsidRPr="00E739FB" w:rsidRDefault="005000BD">
            <w:pPr>
              <w:jc w:val="center"/>
            </w:pPr>
            <w:r w:rsidRPr="00E739FB">
              <w:t>OZNAKA I NAZIV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EBD094F" w14:textId="77777777" w:rsidR="005000BD" w:rsidRPr="00E739FB" w:rsidRDefault="005000BD">
            <w:pPr>
              <w:jc w:val="center"/>
            </w:pPr>
            <w:r w:rsidRPr="00E739FB">
              <w:t>STANJE NOVČANIH SREDSTVA NA POČETKU IZVJEŠTAJNOG RAZDOBLJA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51B0BA4" w14:textId="77777777" w:rsidR="005000BD" w:rsidRPr="00E739FB" w:rsidRDefault="005000BD">
            <w:pPr>
              <w:jc w:val="center"/>
            </w:pPr>
            <w:r w:rsidRPr="00E739FB">
              <w:t>STANJE NOVČANIH SREDSTVA NA RAČUNIMA NA KRAJU IZVJEŠTAJNOG RAZDOBLJA</w:t>
            </w:r>
          </w:p>
        </w:tc>
      </w:tr>
      <w:tr w:rsidR="003B09E8" w:rsidRPr="00E739FB" w14:paraId="6C0E1681" w14:textId="77777777" w:rsidTr="005000BD">
        <w:trPr>
          <w:trHeight w:val="576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FA54" w14:textId="77777777" w:rsidR="005000BD" w:rsidRPr="00E739FB" w:rsidRDefault="005000BD">
            <w:r w:rsidRPr="00E739FB">
              <w:t>1112 Novac na računu kod tuzemnih poslovnih banaka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3C10" w14:textId="429B20B8" w:rsidR="005000BD" w:rsidRPr="00E739FB" w:rsidRDefault="00E12E90">
            <w:pPr>
              <w:jc w:val="right"/>
            </w:pPr>
            <w:r w:rsidRPr="00E739FB">
              <w:t>270.312,89</w:t>
            </w:r>
            <w:r w:rsidR="00724DA9">
              <w:t xml:space="preserve"> EUR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F998" w14:textId="10275B8A" w:rsidR="005000BD" w:rsidRPr="00E739FB" w:rsidRDefault="00706A35">
            <w:pPr>
              <w:jc w:val="right"/>
            </w:pPr>
            <w:r w:rsidRPr="00E739FB">
              <w:t>92.484,66</w:t>
            </w:r>
            <w:r w:rsidR="00724DA9">
              <w:t xml:space="preserve"> EUR</w:t>
            </w:r>
          </w:p>
        </w:tc>
      </w:tr>
    </w:tbl>
    <w:p w14:paraId="3F9ED88E" w14:textId="4BE6906F" w:rsidR="00136D7D" w:rsidRPr="00E739FB" w:rsidRDefault="00136D7D" w:rsidP="00E76E25">
      <w:pPr>
        <w:jc w:val="both"/>
        <w:rPr>
          <w:bCs/>
        </w:rPr>
      </w:pPr>
      <w:r w:rsidRPr="00E739FB">
        <w:rPr>
          <w:bCs/>
        </w:rPr>
        <w:t xml:space="preserve"> </w:t>
      </w:r>
    </w:p>
    <w:p w14:paraId="09E28B3B" w14:textId="77777777" w:rsidR="005F63AA" w:rsidRPr="00E739FB" w:rsidRDefault="005F63AA" w:rsidP="005F63AA">
      <w:pPr>
        <w:jc w:val="both"/>
        <w:rPr>
          <w:b/>
        </w:rPr>
      </w:pPr>
    </w:p>
    <w:p w14:paraId="21082FCD" w14:textId="54E974DD" w:rsidR="005F63AA" w:rsidRPr="00E739FB" w:rsidRDefault="005F63AA" w:rsidP="00771B92">
      <w:pPr>
        <w:pStyle w:val="ListParagraph"/>
        <w:numPr>
          <w:ilvl w:val="2"/>
          <w:numId w:val="5"/>
        </w:numPr>
        <w:jc w:val="both"/>
        <w:rPr>
          <w:b/>
          <w:color w:val="000000" w:themeColor="text1"/>
        </w:rPr>
      </w:pPr>
      <w:r w:rsidRPr="00E739FB">
        <w:rPr>
          <w:b/>
          <w:color w:val="000000" w:themeColor="text1"/>
        </w:rPr>
        <w:t>Obrazloženje prijenosa sredstava iz prethodne godine i prijenosa sredstava u sljedeću godinu</w:t>
      </w:r>
    </w:p>
    <w:p w14:paraId="521E7D00" w14:textId="77777777" w:rsidR="005F63AA" w:rsidRPr="00E739FB" w:rsidRDefault="005F63AA" w:rsidP="005F63AA">
      <w:pPr>
        <w:jc w:val="both"/>
        <w:rPr>
          <w:bCs/>
        </w:rPr>
      </w:pPr>
    </w:p>
    <w:p w14:paraId="2A9076F2" w14:textId="77777777" w:rsidR="00611CF6" w:rsidRPr="00E739FB" w:rsidRDefault="005F63AA" w:rsidP="00E43001">
      <w:pPr>
        <w:jc w:val="both"/>
        <w:rPr>
          <w:bCs/>
          <w:color w:val="000000" w:themeColor="text1"/>
        </w:rPr>
      </w:pPr>
      <w:r w:rsidRPr="00E739FB">
        <w:rPr>
          <w:bCs/>
          <w:color w:val="000000" w:themeColor="text1"/>
        </w:rPr>
        <w:t xml:space="preserve">Javna ustanova u izvještajnom razdoblju tekuće godine ostvarila je </w:t>
      </w:r>
      <w:r w:rsidR="00706A35" w:rsidRPr="00E739FB">
        <w:rPr>
          <w:bCs/>
          <w:color w:val="000000" w:themeColor="text1"/>
        </w:rPr>
        <w:t>manjak</w:t>
      </w:r>
      <w:r w:rsidRPr="00E739FB">
        <w:rPr>
          <w:bCs/>
          <w:color w:val="000000" w:themeColor="text1"/>
        </w:rPr>
        <w:t xml:space="preserve"> od </w:t>
      </w:r>
      <w:r w:rsidR="00706A35" w:rsidRPr="00E739FB">
        <w:rPr>
          <w:bCs/>
          <w:color w:val="000000" w:themeColor="text1"/>
        </w:rPr>
        <w:t>180.307,85</w:t>
      </w:r>
      <w:r w:rsidRPr="00E739FB">
        <w:rPr>
          <w:bCs/>
          <w:color w:val="000000" w:themeColor="text1"/>
        </w:rPr>
        <w:t xml:space="preserve"> eura. </w:t>
      </w:r>
    </w:p>
    <w:p w14:paraId="7AEF7853" w14:textId="77777777" w:rsidR="008B77F3" w:rsidRPr="00E739FB" w:rsidRDefault="008B77F3" w:rsidP="00E43001">
      <w:pPr>
        <w:jc w:val="both"/>
        <w:rPr>
          <w:bCs/>
          <w:color w:val="000000" w:themeColor="text1"/>
        </w:rPr>
      </w:pPr>
    </w:p>
    <w:p w14:paraId="7DBAE22D" w14:textId="1E777973" w:rsidR="00E43001" w:rsidRPr="00E739FB" w:rsidRDefault="005F63AA" w:rsidP="00E43001">
      <w:pPr>
        <w:jc w:val="both"/>
        <w:rPr>
          <w:bCs/>
          <w:color w:val="000000" w:themeColor="text1"/>
        </w:rPr>
      </w:pPr>
      <w:r w:rsidRPr="00E739FB">
        <w:rPr>
          <w:bCs/>
          <w:color w:val="000000" w:themeColor="text1"/>
        </w:rPr>
        <w:t>Prijenos sredstava iz prethodne godine iznosi 2</w:t>
      </w:r>
      <w:r w:rsidR="00706A35" w:rsidRPr="00E739FB">
        <w:rPr>
          <w:bCs/>
          <w:color w:val="000000" w:themeColor="text1"/>
        </w:rPr>
        <w:t>51.684,70</w:t>
      </w:r>
      <w:r w:rsidRPr="00E739FB">
        <w:rPr>
          <w:bCs/>
          <w:color w:val="000000" w:themeColor="text1"/>
        </w:rPr>
        <w:t xml:space="preserve"> eura</w:t>
      </w:r>
      <w:r w:rsidR="00136D7D" w:rsidRPr="00E739FB">
        <w:rPr>
          <w:bCs/>
          <w:color w:val="000000" w:themeColor="text1"/>
        </w:rPr>
        <w:t xml:space="preserve"> i odnosi se</w:t>
      </w:r>
      <w:r w:rsidR="00611CF6" w:rsidRPr="00E739FB">
        <w:rPr>
          <w:bCs/>
          <w:color w:val="000000" w:themeColor="text1"/>
        </w:rPr>
        <w:t xml:space="preserve"> na</w:t>
      </w:r>
      <w:r w:rsidR="00E43001" w:rsidRPr="00E739FB">
        <w:rPr>
          <w:bCs/>
          <w:color w:val="000000" w:themeColor="text1"/>
        </w:rPr>
        <w:t>:</w:t>
      </w:r>
    </w:p>
    <w:p w14:paraId="1DE735FE" w14:textId="6ADDA285" w:rsidR="00E43001" w:rsidRPr="00E739FB" w:rsidRDefault="00611CF6" w:rsidP="00E43001">
      <w:pPr>
        <w:pStyle w:val="ListParagraph"/>
        <w:numPr>
          <w:ilvl w:val="0"/>
          <w:numId w:val="12"/>
        </w:numPr>
        <w:jc w:val="both"/>
        <w:rPr>
          <w:bCs/>
          <w:color w:val="000000" w:themeColor="text1"/>
        </w:rPr>
      </w:pPr>
      <w:r w:rsidRPr="00E739FB">
        <w:rPr>
          <w:bCs/>
          <w:color w:val="000000" w:themeColor="text1"/>
        </w:rPr>
        <w:t>prijenos vlastitih prihoda</w:t>
      </w:r>
      <w:r w:rsidR="008B77F3" w:rsidRPr="00E739FB">
        <w:rPr>
          <w:bCs/>
          <w:color w:val="000000" w:themeColor="text1"/>
        </w:rPr>
        <w:t xml:space="preserve"> od prodaje roba i pružanja usluga</w:t>
      </w:r>
      <w:r w:rsidRPr="00E739FB">
        <w:rPr>
          <w:bCs/>
          <w:color w:val="000000" w:themeColor="text1"/>
        </w:rPr>
        <w:t xml:space="preserve"> na izvoru 3.1. u iznosu 40.025,45 eura</w:t>
      </w:r>
    </w:p>
    <w:p w14:paraId="7F56C954" w14:textId="58190E65" w:rsidR="00E43001" w:rsidRPr="00E739FB" w:rsidRDefault="00E43001" w:rsidP="00E43001">
      <w:pPr>
        <w:pStyle w:val="ListParagraph"/>
        <w:numPr>
          <w:ilvl w:val="0"/>
          <w:numId w:val="12"/>
        </w:numPr>
        <w:jc w:val="both"/>
        <w:rPr>
          <w:bCs/>
        </w:rPr>
      </w:pPr>
      <w:r w:rsidRPr="00E739FB">
        <w:rPr>
          <w:bCs/>
          <w:color w:val="000000" w:themeColor="text1"/>
        </w:rPr>
        <w:t xml:space="preserve">prijenos ostalih prihoda za posebne namjene </w:t>
      </w:r>
      <w:r w:rsidR="004D6C42" w:rsidRPr="00E739FB">
        <w:rPr>
          <w:bCs/>
          <w:color w:val="000000" w:themeColor="text1"/>
        </w:rPr>
        <w:t>(</w:t>
      </w:r>
      <w:r w:rsidRPr="00E739FB">
        <w:rPr>
          <w:bCs/>
          <w:color w:val="000000" w:themeColor="text1"/>
        </w:rPr>
        <w:t>prihod</w:t>
      </w:r>
      <w:r w:rsidR="004D6C42" w:rsidRPr="00E739FB">
        <w:rPr>
          <w:bCs/>
          <w:color w:val="000000" w:themeColor="text1"/>
        </w:rPr>
        <w:t>i</w:t>
      </w:r>
      <w:r w:rsidRPr="00E739FB">
        <w:rPr>
          <w:bCs/>
          <w:color w:val="000000" w:themeColor="text1"/>
        </w:rPr>
        <w:t xml:space="preserve"> od ulaznica</w:t>
      </w:r>
      <w:r w:rsidR="004D6C42" w:rsidRPr="00E739FB">
        <w:rPr>
          <w:bCs/>
          <w:color w:val="000000" w:themeColor="text1"/>
        </w:rPr>
        <w:t>)</w:t>
      </w:r>
      <w:r w:rsidRPr="00E739FB">
        <w:rPr>
          <w:bCs/>
          <w:color w:val="000000" w:themeColor="text1"/>
        </w:rPr>
        <w:t xml:space="preserve"> na izvoru 4.3. u iznosu 79.389,76 </w:t>
      </w:r>
      <w:r w:rsidRPr="00E739FB">
        <w:rPr>
          <w:bCs/>
        </w:rPr>
        <w:t>eura</w:t>
      </w:r>
    </w:p>
    <w:p w14:paraId="7CA05E9E" w14:textId="0B398237" w:rsidR="00E43001" w:rsidRPr="00E739FB" w:rsidRDefault="00E43001" w:rsidP="00E43001">
      <w:pPr>
        <w:pStyle w:val="ListParagraph"/>
        <w:numPr>
          <w:ilvl w:val="0"/>
          <w:numId w:val="12"/>
        </w:numPr>
        <w:jc w:val="both"/>
        <w:rPr>
          <w:bCs/>
        </w:rPr>
      </w:pPr>
      <w:r w:rsidRPr="00E739FB">
        <w:rPr>
          <w:bCs/>
        </w:rPr>
        <w:t xml:space="preserve">prijenos prihoda od pomoći EU </w:t>
      </w:r>
      <w:r w:rsidR="004D6C42" w:rsidRPr="00E739FB">
        <w:rPr>
          <w:bCs/>
        </w:rPr>
        <w:t>po projektu „</w:t>
      </w:r>
      <w:proofErr w:type="spellStart"/>
      <w:r w:rsidR="004D6C42" w:rsidRPr="00E739FB">
        <w:rPr>
          <w:bCs/>
        </w:rPr>
        <w:t>Sincere</w:t>
      </w:r>
      <w:proofErr w:type="spellEnd"/>
      <w:r w:rsidR="004D6C42" w:rsidRPr="00E739FB">
        <w:rPr>
          <w:bCs/>
        </w:rPr>
        <w:t xml:space="preserve">“ u sklopu EU programa </w:t>
      </w:r>
      <w:proofErr w:type="spellStart"/>
      <w:r w:rsidR="004D6C42" w:rsidRPr="00E739FB">
        <w:rPr>
          <w:bCs/>
        </w:rPr>
        <w:t>Horizon</w:t>
      </w:r>
      <w:proofErr w:type="spellEnd"/>
      <w:r w:rsidR="004D6C42" w:rsidRPr="00E739FB">
        <w:rPr>
          <w:bCs/>
        </w:rPr>
        <w:t xml:space="preserve"> 2020 na izvoru 5.1. u iznosu 2.291,45 eura</w:t>
      </w:r>
    </w:p>
    <w:p w14:paraId="3F330A3C" w14:textId="5A1CCA35" w:rsidR="00E43001" w:rsidRPr="00E739FB" w:rsidRDefault="00E43001" w:rsidP="00E43001">
      <w:pPr>
        <w:pStyle w:val="ListParagraph"/>
        <w:numPr>
          <w:ilvl w:val="0"/>
          <w:numId w:val="12"/>
        </w:numPr>
        <w:jc w:val="both"/>
        <w:rPr>
          <w:bCs/>
          <w:color w:val="000000" w:themeColor="text1"/>
        </w:rPr>
      </w:pPr>
      <w:r w:rsidRPr="00E739FB">
        <w:rPr>
          <w:bCs/>
        </w:rPr>
        <w:t xml:space="preserve">prijenos prihoda od primljene pomoći Grada Zagreba za uređenje zaštićenog kulturnog dobra </w:t>
      </w:r>
      <w:r w:rsidRPr="00E739FB">
        <w:rPr>
          <w:bCs/>
          <w:color w:val="000000" w:themeColor="text1"/>
        </w:rPr>
        <w:t>„Rudarski vrt i rudnik Zrinski“ na izvoru 5.2. u iznos 1</w:t>
      </w:r>
      <w:r w:rsidR="00A20973" w:rsidRPr="00E739FB">
        <w:rPr>
          <w:bCs/>
          <w:color w:val="000000" w:themeColor="text1"/>
        </w:rPr>
        <w:t>09.215,33</w:t>
      </w:r>
      <w:r w:rsidRPr="00E739FB">
        <w:rPr>
          <w:bCs/>
          <w:color w:val="000000" w:themeColor="text1"/>
        </w:rPr>
        <w:t xml:space="preserve"> eura</w:t>
      </w:r>
    </w:p>
    <w:p w14:paraId="41C16944" w14:textId="32719527" w:rsidR="00A20973" w:rsidRPr="00E739FB" w:rsidRDefault="00A20973" w:rsidP="00E43001">
      <w:pPr>
        <w:pStyle w:val="ListParagraph"/>
        <w:numPr>
          <w:ilvl w:val="0"/>
          <w:numId w:val="12"/>
        </w:numPr>
        <w:jc w:val="both"/>
        <w:rPr>
          <w:bCs/>
          <w:color w:val="000000" w:themeColor="text1"/>
        </w:rPr>
      </w:pPr>
      <w:r w:rsidRPr="00E739FB">
        <w:rPr>
          <w:bCs/>
        </w:rPr>
        <w:t>prijenos prihoda od primljene pomoći Zajedničkih sredstava parkova Hrvatske na izvoru 5.2. u iznosu 16.399,00 eura</w:t>
      </w:r>
    </w:p>
    <w:p w14:paraId="60C91237" w14:textId="51884F9E" w:rsidR="00611CF6" w:rsidRPr="00E739FB" w:rsidRDefault="00E43001" w:rsidP="00E43001">
      <w:pPr>
        <w:pStyle w:val="ListParagraph"/>
        <w:numPr>
          <w:ilvl w:val="0"/>
          <w:numId w:val="12"/>
        </w:numPr>
        <w:jc w:val="both"/>
        <w:rPr>
          <w:bCs/>
          <w:color w:val="000000" w:themeColor="text1"/>
        </w:rPr>
      </w:pPr>
      <w:r w:rsidRPr="00E739FB">
        <w:rPr>
          <w:bCs/>
          <w:color w:val="000000" w:themeColor="text1"/>
        </w:rPr>
        <w:t xml:space="preserve">prijenos </w:t>
      </w:r>
      <w:r w:rsidR="004D6C42" w:rsidRPr="00E739FB">
        <w:rPr>
          <w:bCs/>
          <w:color w:val="000000" w:themeColor="text1"/>
        </w:rPr>
        <w:t xml:space="preserve">prihoda od </w:t>
      </w:r>
      <w:r w:rsidRPr="00E739FB">
        <w:rPr>
          <w:bCs/>
          <w:color w:val="000000" w:themeColor="text1"/>
        </w:rPr>
        <w:t>donacija na izvoru 6.1. u iznosu 4.363,71 eura.</w:t>
      </w:r>
    </w:p>
    <w:p w14:paraId="11B27289" w14:textId="77777777" w:rsidR="008B77F3" w:rsidRPr="00E739FB" w:rsidRDefault="008B77F3" w:rsidP="00E43001">
      <w:pPr>
        <w:jc w:val="both"/>
        <w:rPr>
          <w:bCs/>
          <w:color w:val="000000" w:themeColor="text1"/>
        </w:rPr>
      </w:pPr>
    </w:p>
    <w:p w14:paraId="67BA15AF" w14:textId="47E966CD" w:rsidR="00E43001" w:rsidRPr="00E739FB" w:rsidRDefault="00611CF6" w:rsidP="00E43001">
      <w:pPr>
        <w:jc w:val="both"/>
        <w:rPr>
          <w:bCs/>
          <w:color w:val="000000" w:themeColor="text1"/>
        </w:rPr>
      </w:pPr>
      <w:r w:rsidRPr="00E739FB">
        <w:rPr>
          <w:bCs/>
          <w:color w:val="000000" w:themeColor="text1"/>
        </w:rPr>
        <w:t>V</w:t>
      </w:r>
      <w:r w:rsidR="005F63AA" w:rsidRPr="00E739FB">
        <w:rPr>
          <w:bCs/>
          <w:color w:val="000000" w:themeColor="text1"/>
        </w:rPr>
        <w:t xml:space="preserve">išak za prijenos u sljedeće razdoblje iznosi </w:t>
      </w:r>
      <w:r w:rsidR="00706A35" w:rsidRPr="00E739FB">
        <w:rPr>
          <w:bCs/>
          <w:color w:val="000000" w:themeColor="text1"/>
        </w:rPr>
        <w:t>71.376,85</w:t>
      </w:r>
      <w:r w:rsidR="005F63AA" w:rsidRPr="00E739FB">
        <w:rPr>
          <w:bCs/>
          <w:color w:val="000000" w:themeColor="text1"/>
        </w:rPr>
        <w:t xml:space="preserve"> eura</w:t>
      </w:r>
      <w:r w:rsidR="00136D7D" w:rsidRPr="00E739FB">
        <w:rPr>
          <w:bCs/>
          <w:color w:val="000000" w:themeColor="text1"/>
        </w:rPr>
        <w:t xml:space="preserve"> i</w:t>
      </w:r>
      <w:r w:rsidR="00E43001" w:rsidRPr="00E739FB">
        <w:rPr>
          <w:bCs/>
          <w:color w:val="000000" w:themeColor="text1"/>
        </w:rPr>
        <w:t xml:space="preserve"> odnosi se na:</w:t>
      </w:r>
    </w:p>
    <w:p w14:paraId="4DCF26F0" w14:textId="6A3251F2" w:rsidR="00E43001" w:rsidRPr="00E739FB" w:rsidRDefault="00E43001" w:rsidP="00E43001">
      <w:pPr>
        <w:pStyle w:val="ListParagraph"/>
        <w:numPr>
          <w:ilvl w:val="0"/>
          <w:numId w:val="13"/>
        </w:numPr>
        <w:jc w:val="both"/>
        <w:rPr>
          <w:bCs/>
          <w:color w:val="000000" w:themeColor="text1"/>
        </w:rPr>
      </w:pPr>
      <w:r w:rsidRPr="00E739FB">
        <w:rPr>
          <w:bCs/>
          <w:color w:val="000000" w:themeColor="text1"/>
        </w:rPr>
        <w:t>prijenos vlastitih prihoda</w:t>
      </w:r>
      <w:r w:rsidR="008B77F3" w:rsidRPr="00E739FB">
        <w:rPr>
          <w:bCs/>
          <w:color w:val="000000" w:themeColor="text1"/>
        </w:rPr>
        <w:t xml:space="preserve"> od prodaje roba i pružanja usluga</w:t>
      </w:r>
      <w:r w:rsidRPr="00E739FB">
        <w:rPr>
          <w:bCs/>
          <w:color w:val="000000" w:themeColor="text1"/>
        </w:rPr>
        <w:t xml:space="preserve"> na izvoru 3.1. u iznosu 16.703,29 eura</w:t>
      </w:r>
    </w:p>
    <w:p w14:paraId="759BAD3C" w14:textId="77777777" w:rsidR="00E43001" w:rsidRPr="00E739FB" w:rsidRDefault="00E43001" w:rsidP="00E43001">
      <w:pPr>
        <w:pStyle w:val="ListParagraph"/>
        <w:numPr>
          <w:ilvl w:val="0"/>
          <w:numId w:val="13"/>
        </w:numPr>
        <w:jc w:val="both"/>
        <w:rPr>
          <w:bCs/>
          <w:color w:val="000000" w:themeColor="text1"/>
        </w:rPr>
      </w:pPr>
      <w:r w:rsidRPr="00E739FB">
        <w:rPr>
          <w:bCs/>
          <w:color w:val="000000" w:themeColor="text1"/>
        </w:rPr>
        <w:lastRenderedPageBreak/>
        <w:t>prijenos ostalih prihoda za posebne namjene (prihodi od ulaznica) na izvoru 4.3. u iznosu 50.309,85 eura</w:t>
      </w:r>
    </w:p>
    <w:p w14:paraId="76AE454F" w14:textId="7563336B" w:rsidR="005F63AA" w:rsidRPr="00E739FB" w:rsidRDefault="00E43001" w:rsidP="00E43001">
      <w:pPr>
        <w:pStyle w:val="ListParagraph"/>
        <w:numPr>
          <w:ilvl w:val="0"/>
          <w:numId w:val="13"/>
        </w:numPr>
        <w:jc w:val="both"/>
        <w:rPr>
          <w:bCs/>
          <w:color w:val="000000" w:themeColor="text1"/>
        </w:rPr>
      </w:pPr>
      <w:r w:rsidRPr="00E739FB">
        <w:rPr>
          <w:bCs/>
          <w:color w:val="000000" w:themeColor="text1"/>
        </w:rPr>
        <w:t>prijenos prihoda od donacija na izvor</w:t>
      </w:r>
      <w:r w:rsidR="004D6C42" w:rsidRPr="00E739FB">
        <w:rPr>
          <w:bCs/>
          <w:color w:val="000000" w:themeColor="text1"/>
        </w:rPr>
        <w:t>u</w:t>
      </w:r>
      <w:r w:rsidRPr="00E739FB">
        <w:rPr>
          <w:bCs/>
          <w:color w:val="000000" w:themeColor="text1"/>
        </w:rPr>
        <w:t xml:space="preserve"> 6.1. u iznosu 4.363,71 eura.</w:t>
      </w:r>
    </w:p>
    <w:p w14:paraId="1B381EDF" w14:textId="77777777" w:rsidR="005F63AA" w:rsidRPr="00E739FB" w:rsidRDefault="005F63AA" w:rsidP="00E43001">
      <w:pPr>
        <w:jc w:val="both"/>
        <w:rPr>
          <w:bCs/>
        </w:rPr>
      </w:pPr>
    </w:p>
    <w:p w14:paraId="329F9C8C" w14:textId="77777777" w:rsidR="005000BD" w:rsidRPr="00E739FB" w:rsidRDefault="005000BD" w:rsidP="00E76E25">
      <w:pPr>
        <w:jc w:val="both"/>
        <w:rPr>
          <w:bCs/>
        </w:rPr>
      </w:pPr>
    </w:p>
    <w:p w14:paraId="192C807F" w14:textId="6EA3892F" w:rsidR="00B0185C" w:rsidRPr="00E739FB" w:rsidRDefault="00B0185C" w:rsidP="00771B92">
      <w:pPr>
        <w:pStyle w:val="ListParagraph"/>
        <w:numPr>
          <w:ilvl w:val="1"/>
          <w:numId w:val="5"/>
        </w:numPr>
        <w:jc w:val="both"/>
        <w:rPr>
          <w:b/>
        </w:rPr>
      </w:pPr>
      <w:r w:rsidRPr="00E739FB">
        <w:rPr>
          <w:b/>
        </w:rPr>
        <w:t xml:space="preserve">Obrazloženja posebnog dijela izvještaja o izvršenju </w:t>
      </w:r>
      <w:r w:rsidR="00A81CE0" w:rsidRPr="00E739FB">
        <w:rPr>
          <w:b/>
        </w:rPr>
        <w:t>financijskog plana</w:t>
      </w:r>
    </w:p>
    <w:p w14:paraId="7996F4CE" w14:textId="77777777" w:rsidR="00E36084" w:rsidRPr="00E739FB" w:rsidRDefault="00E36084" w:rsidP="00E36084">
      <w:pPr>
        <w:jc w:val="both"/>
        <w:rPr>
          <w:bCs/>
        </w:rPr>
      </w:pPr>
    </w:p>
    <w:p w14:paraId="60FB5A87" w14:textId="77777777" w:rsidR="00CD26E9" w:rsidRPr="00E739FB" w:rsidRDefault="00CD26E9" w:rsidP="00E36084">
      <w:pPr>
        <w:jc w:val="both"/>
        <w:rPr>
          <w:bCs/>
        </w:rPr>
      </w:pPr>
    </w:p>
    <w:p w14:paraId="41EB7B74" w14:textId="6C913AFE" w:rsidR="00BB6C98" w:rsidRPr="00E739FB" w:rsidRDefault="00BB6C98" w:rsidP="00E36084">
      <w:pPr>
        <w:jc w:val="both"/>
        <w:rPr>
          <w:b/>
        </w:rPr>
      </w:pPr>
      <w:r w:rsidRPr="00E739FB">
        <w:rPr>
          <w:b/>
        </w:rPr>
        <w:t>Aktivnost A779000 Administracija i upravljanje nacionalnim parkovima i parkovima prirode</w:t>
      </w:r>
    </w:p>
    <w:p w14:paraId="49D6973E" w14:textId="77777777" w:rsidR="00BB6C98" w:rsidRPr="00E739FB" w:rsidRDefault="00BB6C98" w:rsidP="00E36084">
      <w:pPr>
        <w:jc w:val="both"/>
        <w:rPr>
          <w:bCs/>
        </w:rPr>
      </w:pPr>
    </w:p>
    <w:p w14:paraId="6FC3BD61" w14:textId="518AC5C0" w:rsidR="00AE2142" w:rsidRPr="00E739FB" w:rsidRDefault="00AE2142" w:rsidP="00E36084">
      <w:pPr>
        <w:jc w:val="both"/>
        <w:rPr>
          <w:bCs/>
          <w:u w:val="single"/>
        </w:rPr>
      </w:pPr>
      <w:r w:rsidRPr="00E739FB">
        <w:rPr>
          <w:bCs/>
          <w:u w:val="single"/>
        </w:rPr>
        <w:t>Izvor 1.1. Opći prihodi i primici</w:t>
      </w:r>
    </w:p>
    <w:p w14:paraId="0CE0DCDB" w14:textId="77777777" w:rsidR="00AE2142" w:rsidRPr="00E739FB" w:rsidRDefault="00AE2142" w:rsidP="00E36084">
      <w:pPr>
        <w:jc w:val="both"/>
        <w:rPr>
          <w:bCs/>
        </w:rPr>
      </w:pPr>
    </w:p>
    <w:p w14:paraId="2E35A049" w14:textId="0DC7EDD9" w:rsidR="00E20DEB" w:rsidRPr="00E739FB" w:rsidRDefault="00BB6C98" w:rsidP="00E36084">
      <w:pPr>
        <w:jc w:val="both"/>
        <w:rPr>
          <w:bCs/>
        </w:rPr>
      </w:pPr>
      <w:r w:rsidRPr="00E739FB">
        <w:rPr>
          <w:bCs/>
        </w:rPr>
        <w:t xml:space="preserve">U tekućoj godini </w:t>
      </w:r>
      <w:r w:rsidR="00E20DEB" w:rsidRPr="00E739FB">
        <w:rPr>
          <w:bCs/>
        </w:rPr>
        <w:t>realizirani</w:t>
      </w:r>
      <w:r w:rsidRPr="00E739FB">
        <w:rPr>
          <w:bCs/>
        </w:rPr>
        <w:t xml:space="preserve"> su rashodi</w:t>
      </w:r>
      <w:r w:rsidR="0054776C" w:rsidRPr="00E739FB">
        <w:rPr>
          <w:bCs/>
        </w:rPr>
        <w:t xml:space="preserve"> u iznosu od </w:t>
      </w:r>
      <w:r w:rsidR="006C6F58" w:rsidRPr="00E739FB">
        <w:rPr>
          <w:bCs/>
        </w:rPr>
        <w:t>701.442,28</w:t>
      </w:r>
      <w:r w:rsidR="0054776C" w:rsidRPr="00E739FB">
        <w:rPr>
          <w:bCs/>
        </w:rPr>
        <w:t xml:space="preserve"> eura</w:t>
      </w:r>
      <w:r w:rsidRPr="00E739FB">
        <w:rPr>
          <w:bCs/>
        </w:rPr>
        <w:t xml:space="preserve"> </w:t>
      </w:r>
      <w:r w:rsidR="00824B73" w:rsidRPr="00E739FB">
        <w:rPr>
          <w:bCs/>
        </w:rPr>
        <w:t>za redovno poslovanje Ustanove financirani od nadležnog proračuna sukladno utvrđenom limitu nadležnog ministarstva i financijskom planu za 202</w:t>
      </w:r>
      <w:r w:rsidR="006C6F58" w:rsidRPr="00E739FB">
        <w:rPr>
          <w:bCs/>
        </w:rPr>
        <w:t>4</w:t>
      </w:r>
      <w:r w:rsidR="00824B73" w:rsidRPr="00E739FB">
        <w:rPr>
          <w:bCs/>
        </w:rPr>
        <w:t>. godinu.</w:t>
      </w:r>
    </w:p>
    <w:p w14:paraId="2A13FA90" w14:textId="0E252F0C" w:rsidR="00433227" w:rsidRPr="00E739FB" w:rsidRDefault="005F1725" w:rsidP="00E36084">
      <w:pPr>
        <w:jc w:val="both"/>
        <w:rPr>
          <w:bCs/>
        </w:rPr>
      </w:pPr>
      <w:r w:rsidRPr="00E739FB">
        <w:rPr>
          <w:bCs/>
        </w:rPr>
        <w:t>Rashodi se najvećim udjelom odnose na rashode za zaposlene</w:t>
      </w:r>
      <w:r w:rsidR="00E20DEB" w:rsidRPr="00E739FB">
        <w:rPr>
          <w:bCs/>
        </w:rPr>
        <w:t xml:space="preserve"> i realizirani su u 100,00 % planiranih sredstava. </w:t>
      </w:r>
    </w:p>
    <w:p w14:paraId="3C722B63" w14:textId="12D1A515" w:rsidR="00E261C3" w:rsidRPr="00E739FB" w:rsidRDefault="00433227" w:rsidP="00E261C3">
      <w:pPr>
        <w:jc w:val="both"/>
        <w:rPr>
          <w:bCs/>
        </w:rPr>
      </w:pPr>
      <w:r w:rsidRPr="00E739FB">
        <w:rPr>
          <w:bCs/>
        </w:rPr>
        <w:t xml:space="preserve">Materijalni rashodi </w:t>
      </w:r>
      <w:r w:rsidR="00AE2142" w:rsidRPr="00E739FB">
        <w:rPr>
          <w:bCs/>
        </w:rPr>
        <w:t>realizirani</w:t>
      </w:r>
      <w:r w:rsidRPr="00E739FB">
        <w:rPr>
          <w:bCs/>
        </w:rPr>
        <w:t xml:space="preserve"> su</w:t>
      </w:r>
      <w:r w:rsidR="00AE2142" w:rsidRPr="00E739FB">
        <w:rPr>
          <w:bCs/>
        </w:rPr>
        <w:t xml:space="preserve"> u iznosu 114.331,12 eura odnosno 93,99 % planiranih sredstva, a </w:t>
      </w:r>
      <w:r w:rsidRPr="00E739FB">
        <w:rPr>
          <w:bCs/>
        </w:rPr>
        <w:t>najvećim dijelom odnose</w:t>
      </w:r>
      <w:r w:rsidR="00AE2142" w:rsidRPr="00E739FB">
        <w:rPr>
          <w:bCs/>
        </w:rPr>
        <w:t xml:space="preserve"> se</w:t>
      </w:r>
      <w:r w:rsidRPr="00E739FB">
        <w:rPr>
          <w:bCs/>
        </w:rPr>
        <w:t xml:space="preserve"> na rashode za energiju, rashode za zakupnine poslovnog prostora</w:t>
      </w:r>
      <w:r w:rsidR="00DA22FC" w:rsidRPr="00E739FB">
        <w:rPr>
          <w:bCs/>
        </w:rPr>
        <w:t xml:space="preserve">, </w:t>
      </w:r>
      <w:r w:rsidR="00E20DEB" w:rsidRPr="00E739FB">
        <w:rPr>
          <w:bCs/>
        </w:rPr>
        <w:t xml:space="preserve">računalne </w:t>
      </w:r>
      <w:r w:rsidR="00DA22FC" w:rsidRPr="00E739FB">
        <w:rPr>
          <w:bCs/>
        </w:rPr>
        <w:t>usluge</w:t>
      </w:r>
      <w:r w:rsidR="006C6F58" w:rsidRPr="00E739FB">
        <w:rPr>
          <w:bCs/>
        </w:rPr>
        <w:t>,</w:t>
      </w:r>
      <w:r w:rsidR="00E261C3" w:rsidRPr="00E739FB">
        <w:rPr>
          <w:bCs/>
        </w:rPr>
        <w:t xml:space="preserve"> naknade za prijevoz zaposlenika na posao i s posla</w:t>
      </w:r>
      <w:r w:rsidR="006C6F58" w:rsidRPr="00E739FB">
        <w:rPr>
          <w:bCs/>
        </w:rPr>
        <w:t xml:space="preserve"> i naknade za rad predstavničkih i izvršnih tijela, povjerenstava i slično</w:t>
      </w:r>
      <w:r w:rsidR="00E261C3" w:rsidRPr="00E739FB">
        <w:rPr>
          <w:bCs/>
        </w:rPr>
        <w:t>. Rashodi za energiju u 202</w:t>
      </w:r>
      <w:r w:rsidR="006C6F58" w:rsidRPr="00E739FB">
        <w:rPr>
          <w:bCs/>
        </w:rPr>
        <w:t>4</w:t>
      </w:r>
      <w:r w:rsidR="00E261C3" w:rsidRPr="00E739FB">
        <w:rPr>
          <w:bCs/>
        </w:rPr>
        <w:t>. godini najvećim dijelom se odnose na rashode električne energije temeljem sklopljenog ugovora s opskrbljivačem električne energije HEP-Opskrba d.o.o. koji je sklopljen temeljem Okvirnog sporazuma za opskrbu električnom energijom.</w:t>
      </w:r>
      <w:r w:rsidR="006C6F58" w:rsidRPr="00E739FB">
        <w:rPr>
          <w:bCs/>
        </w:rPr>
        <w:t xml:space="preserve"> </w:t>
      </w:r>
      <w:r w:rsidR="00E261C3" w:rsidRPr="00E739FB">
        <w:rPr>
          <w:bCs/>
        </w:rPr>
        <w:t>Temeljem kolektivnog ugovora naknade za trošak prijevoza zaposlenika za potrebe dolaska i odlaska s posla povećani su jer nema organiziranog javnog prijevoza i nije moguće ostvariti redoviti dolazak na posao i redoviti povrat s posla javnim prijevozom.</w:t>
      </w:r>
    </w:p>
    <w:p w14:paraId="4FB7127B" w14:textId="77777777" w:rsidR="00BB6C98" w:rsidRPr="00E739FB" w:rsidRDefault="00BB6C98" w:rsidP="00E36084">
      <w:pPr>
        <w:jc w:val="both"/>
        <w:rPr>
          <w:bCs/>
        </w:rPr>
      </w:pPr>
    </w:p>
    <w:p w14:paraId="7761E3CE" w14:textId="77777777" w:rsidR="00DA1955" w:rsidRPr="00E739FB" w:rsidRDefault="00DA1955" w:rsidP="00E36084">
      <w:pPr>
        <w:jc w:val="both"/>
        <w:rPr>
          <w:bCs/>
        </w:rPr>
      </w:pPr>
    </w:p>
    <w:p w14:paraId="4F4C4AE0" w14:textId="4160A852" w:rsidR="00824B73" w:rsidRPr="00E739FB" w:rsidRDefault="00824B73" w:rsidP="00E36084">
      <w:pPr>
        <w:jc w:val="both"/>
        <w:rPr>
          <w:b/>
        </w:rPr>
      </w:pPr>
      <w:r w:rsidRPr="00E739FB">
        <w:rPr>
          <w:b/>
        </w:rPr>
        <w:t>Aktivnost A779021 Zaštita prirode</w:t>
      </w:r>
    </w:p>
    <w:p w14:paraId="2E445394" w14:textId="71A564C1" w:rsidR="00824B73" w:rsidRPr="00E739FB" w:rsidRDefault="00824B73" w:rsidP="00E36084">
      <w:pPr>
        <w:jc w:val="both"/>
        <w:rPr>
          <w:bCs/>
        </w:rPr>
      </w:pPr>
    </w:p>
    <w:p w14:paraId="1E24A14B" w14:textId="03CC281C" w:rsidR="00AE2142" w:rsidRPr="00E739FB" w:rsidRDefault="00AE2142" w:rsidP="00E36084">
      <w:pPr>
        <w:jc w:val="both"/>
        <w:rPr>
          <w:bCs/>
          <w:u w:val="single"/>
        </w:rPr>
      </w:pPr>
      <w:r w:rsidRPr="00E739FB">
        <w:rPr>
          <w:bCs/>
          <w:u w:val="single"/>
        </w:rPr>
        <w:t>Izvor 1.1. Opći prihodi i primici</w:t>
      </w:r>
    </w:p>
    <w:p w14:paraId="7FB863DC" w14:textId="77777777" w:rsidR="00AE2142" w:rsidRPr="00E739FB" w:rsidRDefault="00AE2142" w:rsidP="00E36084">
      <w:pPr>
        <w:jc w:val="both"/>
        <w:rPr>
          <w:bCs/>
        </w:rPr>
      </w:pPr>
    </w:p>
    <w:p w14:paraId="24CBCC96" w14:textId="0ADBEBAB" w:rsidR="00C4534F" w:rsidRPr="00E739FB" w:rsidRDefault="00C4534F" w:rsidP="00E36084">
      <w:pPr>
        <w:jc w:val="both"/>
        <w:rPr>
          <w:bCs/>
        </w:rPr>
      </w:pPr>
      <w:r w:rsidRPr="00E739FB">
        <w:rPr>
          <w:bCs/>
        </w:rPr>
        <w:t xml:space="preserve">U tekućoj godini </w:t>
      </w:r>
      <w:r w:rsidR="00AE2142" w:rsidRPr="00E739FB">
        <w:rPr>
          <w:bCs/>
        </w:rPr>
        <w:t>realizirani</w:t>
      </w:r>
      <w:r w:rsidRPr="00E739FB">
        <w:rPr>
          <w:bCs/>
        </w:rPr>
        <w:t xml:space="preserve"> su rashodi</w:t>
      </w:r>
      <w:r w:rsidR="00581FE5" w:rsidRPr="00E739FB">
        <w:rPr>
          <w:bCs/>
        </w:rPr>
        <w:t xml:space="preserve"> </w:t>
      </w:r>
      <w:r w:rsidRPr="00E739FB">
        <w:rPr>
          <w:bCs/>
        </w:rPr>
        <w:t xml:space="preserve">u </w:t>
      </w:r>
      <w:r w:rsidR="00A55D80" w:rsidRPr="00E739FB">
        <w:rPr>
          <w:bCs/>
        </w:rPr>
        <w:t>iznosu od 4.596,38</w:t>
      </w:r>
      <w:r w:rsidRPr="00E739FB">
        <w:rPr>
          <w:bCs/>
        </w:rPr>
        <w:t xml:space="preserve"> eura</w:t>
      </w:r>
      <w:r w:rsidR="00AE2142" w:rsidRPr="00E739FB">
        <w:rPr>
          <w:bCs/>
        </w:rPr>
        <w:t xml:space="preserve"> odnosno 46,78 % planiranih sredstava za intelektualne i osobne usluge</w:t>
      </w:r>
      <w:r w:rsidRPr="00E739FB">
        <w:rPr>
          <w:bCs/>
        </w:rPr>
        <w:t xml:space="preserve"> </w:t>
      </w:r>
      <w:r w:rsidR="00581FE5" w:rsidRPr="00E739FB">
        <w:rPr>
          <w:bCs/>
        </w:rPr>
        <w:t>za inventarizaciju i monitoring.</w:t>
      </w:r>
    </w:p>
    <w:p w14:paraId="577E8F12" w14:textId="77777777" w:rsidR="006C6F58" w:rsidRPr="00E739FB" w:rsidRDefault="006C6F58" w:rsidP="00E36084">
      <w:pPr>
        <w:jc w:val="both"/>
        <w:rPr>
          <w:bCs/>
        </w:rPr>
      </w:pPr>
    </w:p>
    <w:p w14:paraId="26B9C14A" w14:textId="77777777" w:rsidR="006C6F58" w:rsidRPr="00E739FB" w:rsidRDefault="006C6F58" w:rsidP="00E36084">
      <w:pPr>
        <w:jc w:val="both"/>
        <w:rPr>
          <w:bCs/>
        </w:rPr>
      </w:pPr>
    </w:p>
    <w:p w14:paraId="13C203A9" w14:textId="4736ECF9" w:rsidR="006C6F58" w:rsidRPr="00E739FB" w:rsidRDefault="006C6F58" w:rsidP="00E36084">
      <w:pPr>
        <w:jc w:val="both"/>
        <w:rPr>
          <w:b/>
        </w:rPr>
      </w:pPr>
      <w:r w:rsidRPr="00E739FB">
        <w:rPr>
          <w:b/>
        </w:rPr>
        <w:t>Aktivnost K779040 Operativni program konkurentnost i kohezija</w:t>
      </w:r>
    </w:p>
    <w:p w14:paraId="0288A969" w14:textId="77777777" w:rsidR="006C6F58" w:rsidRPr="00E739FB" w:rsidRDefault="006C6F58" w:rsidP="00E36084">
      <w:pPr>
        <w:jc w:val="both"/>
        <w:rPr>
          <w:bCs/>
        </w:rPr>
      </w:pPr>
    </w:p>
    <w:p w14:paraId="5C1E1CD1" w14:textId="154D9BA6" w:rsidR="006C6F58" w:rsidRPr="00E739FB" w:rsidRDefault="006C6F58" w:rsidP="00E36084">
      <w:pPr>
        <w:jc w:val="both"/>
        <w:rPr>
          <w:bCs/>
          <w:u w:val="single"/>
        </w:rPr>
      </w:pPr>
      <w:r w:rsidRPr="00E739FB">
        <w:rPr>
          <w:bCs/>
          <w:u w:val="single"/>
        </w:rPr>
        <w:t>Izvor 5.6.3. Europski fond za regionalni razvoj (ERDF)</w:t>
      </w:r>
    </w:p>
    <w:p w14:paraId="3A08D5E7" w14:textId="77777777" w:rsidR="006C6F58" w:rsidRPr="00E739FB" w:rsidRDefault="006C6F58" w:rsidP="00E36084">
      <w:pPr>
        <w:jc w:val="both"/>
        <w:rPr>
          <w:bCs/>
        </w:rPr>
      </w:pPr>
    </w:p>
    <w:p w14:paraId="63C050F1" w14:textId="3B32B631" w:rsidR="008A62B0" w:rsidRPr="00E739FB" w:rsidRDefault="008A62B0" w:rsidP="008A62B0">
      <w:pPr>
        <w:jc w:val="both"/>
        <w:rPr>
          <w:bCs/>
        </w:rPr>
      </w:pPr>
      <w:r w:rsidRPr="00E739FB">
        <w:rPr>
          <w:bCs/>
        </w:rPr>
        <w:t xml:space="preserve">U tekućoj godini na ostalim nespomenutim rashodima poslovanja iskazan je iznos povrata uplate od 6.923,10 eura Zajedničkim sredstvima parkova Hrvatske prema Zahtjevu za plaćanje br. 16 za projekt „Poboljšanje </w:t>
      </w:r>
      <w:proofErr w:type="spellStart"/>
      <w:r w:rsidRPr="00E739FB">
        <w:rPr>
          <w:bCs/>
        </w:rPr>
        <w:t>posjetiteljskog</w:t>
      </w:r>
      <w:proofErr w:type="spellEnd"/>
      <w:r w:rsidRPr="00E739FB">
        <w:rPr>
          <w:bCs/>
        </w:rPr>
        <w:t xml:space="preserve"> kapaciteta u svrhu održivog upravljanja Parkom prirode Medvednica“ KK.06.1.2.01.0012. Obzirom da je Ustanova potraživala sredstva za nadoknadu financijske korekcije temeljem Odluke IRR04, ista sredstva su dobivena temeljem Odluke o dodjeli sredstava, KLASA:612-07/17-09/27, URBROJ: 517-05-2-1-21-29, od 3. ožujka 2021. godine iz Zajedničkih sredstava parkova Hrvatske. Kako je poništena Odluka o nepravilnosti ista sredstva morala su se vratiti u Državni proračun radi izbjegavanja dvostrukog financiranja. </w:t>
      </w:r>
    </w:p>
    <w:p w14:paraId="04F2624E" w14:textId="23843FD5" w:rsidR="006C6F58" w:rsidRPr="00E739FB" w:rsidRDefault="008A62B0" w:rsidP="00E36084">
      <w:pPr>
        <w:jc w:val="both"/>
        <w:rPr>
          <w:bCs/>
        </w:rPr>
      </w:pPr>
      <w:r w:rsidRPr="00E739FB">
        <w:rPr>
          <w:bCs/>
        </w:rPr>
        <w:t xml:space="preserve"> </w:t>
      </w:r>
    </w:p>
    <w:p w14:paraId="58AEE631" w14:textId="77777777" w:rsidR="00824B73" w:rsidRPr="00E739FB" w:rsidRDefault="00824B73" w:rsidP="00E36084">
      <w:pPr>
        <w:jc w:val="both"/>
        <w:rPr>
          <w:bCs/>
        </w:rPr>
      </w:pPr>
    </w:p>
    <w:p w14:paraId="364DBDB5" w14:textId="486F0280" w:rsidR="00824B73" w:rsidRPr="00E739FB" w:rsidRDefault="00824B73" w:rsidP="00E36084">
      <w:pPr>
        <w:jc w:val="both"/>
        <w:rPr>
          <w:b/>
        </w:rPr>
      </w:pPr>
      <w:r w:rsidRPr="00E739FB">
        <w:rPr>
          <w:b/>
        </w:rPr>
        <w:t>Aktivnost A779047 Administracija i upravljanje (iz evidencijskih prihoda)</w:t>
      </w:r>
    </w:p>
    <w:p w14:paraId="622496E3" w14:textId="77777777" w:rsidR="00AE2142" w:rsidRPr="00E739FB" w:rsidRDefault="00AE2142" w:rsidP="00E36084">
      <w:pPr>
        <w:jc w:val="both"/>
        <w:rPr>
          <w:bCs/>
        </w:rPr>
      </w:pPr>
    </w:p>
    <w:p w14:paraId="7499B331" w14:textId="77777777" w:rsidR="00CD26E9" w:rsidRPr="00E739FB" w:rsidRDefault="00CD26E9" w:rsidP="00E36084">
      <w:pPr>
        <w:jc w:val="both"/>
        <w:rPr>
          <w:bCs/>
        </w:rPr>
      </w:pPr>
    </w:p>
    <w:p w14:paraId="37448F45" w14:textId="1CA8E745" w:rsidR="00BB6C98" w:rsidRPr="00E739FB" w:rsidRDefault="00E65F7A" w:rsidP="00E36084">
      <w:pPr>
        <w:jc w:val="both"/>
        <w:rPr>
          <w:bCs/>
          <w:u w:val="single"/>
        </w:rPr>
      </w:pPr>
      <w:r w:rsidRPr="00E739FB">
        <w:rPr>
          <w:bCs/>
          <w:u w:val="single"/>
        </w:rPr>
        <w:t>Izvor 3</w:t>
      </w:r>
      <w:r w:rsidR="00A55D80" w:rsidRPr="00E739FB">
        <w:rPr>
          <w:bCs/>
          <w:u w:val="single"/>
        </w:rPr>
        <w:t>.</w:t>
      </w:r>
      <w:r w:rsidRPr="00E739FB">
        <w:rPr>
          <w:bCs/>
          <w:u w:val="single"/>
        </w:rPr>
        <w:t>1</w:t>
      </w:r>
      <w:r w:rsidR="00A55D80" w:rsidRPr="00E739FB">
        <w:rPr>
          <w:bCs/>
          <w:u w:val="single"/>
        </w:rPr>
        <w:t>.</w:t>
      </w:r>
      <w:r w:rsidRPr="00E739FB">
        <w:rPr>
          <w:bCs/>
          <w:u w:val="single"/>
        </w:rPr>
        <w:t xml:space="preserve">  Vlastiti prihodi</w:t>
      </w:r>
    </w:p>
    <w:p w14:paraId="54BCB72A" w14:textId="77777777" w:rsidR="00E65F7A" w:rsidRPr="00E739FB" w:rsidRDefault="00E65F7A" w:rsidP="00E36084">
      <w:pPr>
        <w:jc w:val="both"/>
        <w:rPr>
          <w:bCs/>
        </w:rPr>
      </w:pPr>
    </w:p>
    <w:p w14:paraId="1A4AD174" w14:textId="2D3745C3" w:rsidR="00DA22FC" w:rsidRPr="00E739FB" w:rsidRDefault="001F7247" w:rsidP="00E36084">
      <w:pPr>
        <w:jc w:val="both"/>
        <w:rPr>
          <w:bCs/>
        </w:rPr>
      </w:pPr>
      <w:r w:rsidRPr="00E739FB">
        <w:rPr>
          <w:bCs/>
        </w:rPr>
        <w:lastRenderedPageBreak/>
        <w:t xml:space="preserve">U tekućoj godini </w:t>
      </w:r>
      <w:r w:rsidR="00AE2142" w:rsidRPr="00E739FB">
        <w:rPr>
          <w:bCs/>
        </w:rPr>
        <w:t>realizirani</w:t>
      </w:r>
      <w:r w:rsidRPr="00E739FB">
        <w:rPr>
          <w:bCs/>
        </w:rPr>
        <w:t xml:space="preserve"> su rashodi u iznosu</w:t>
      </w:r>
      <w:r w:rsidR="0054776C" w:rsidRPr="00E739FB">
        <w:rPr>
          <w:bCs/>
        </w:rPr>
        <w:t xml:space="preserve"> </w:t>
      </w:r>
      <w:r w:rsidR="00A55D80" w:rsidRPr="00E739FB">
        <w:rPr>
          <w:bCs/>
        </w:rPr>
        <w:t>114.035,19</w:t>
      </w:r>
      <w:r w:rsidR="0054776C" w:rsidRPr="00E739FB">
        <w:rPr>
          <w:bCs/>
        </w:rPr>
        <w:t xml:space="preserve"> eura</w:t>
      </w:r>
      <w:r w:rsidR="00AE2142" w:rsidRPr="00E739FB">
        <w:rPr>
          <w:bCs/>
        </w:rPr>
        <w:t xml:space="preserve"> odnosno 82,95% planiranih rashoda za 2024. godinu</w:t>
      </w:r>
      <w:r w:rsidR="00DA22FC" w:rsidRPr="00E739FB">
        <w:rPr>
          <w:bCs/>
        </w:rPr>
        <w:t xml:space="preserve"> i odnose se na rashode za redovno poslovanje Ustanove.</w:t>
      </w:r>
      <w:r w:rsidR="0054776C" w:rsidRPr="00E739FB">
        <w:rPr>
          <w:bCs/>
        </w:rPr>
        <w:t xml:space="preserve"> </w:t>
      </w:r>
      <w:r w:rsidR="00DA22FC" w:rsidRPr="00E739FB">
        <w:rPr>
          <w:bCs/>
        </w:rPr>
        <w:t>Najvećim dijelom uključuju rashode za usluge tekućeg i investicijskog održavanja objekata kojima upravlja Ustanova, intelektualne i osobne usluge temeljem ugovora studentskog servisa i rashode za nabavu nefinancijske imovine.</w:t>
      </w:r>
    </w:p>
    <w:p w14:paraId="628168BF" w14:textId="77777777" w:rsidR="00E65F7A" w:rsidRPr="00E739FB" w:rsidRDefault="00E65F7A" w:rsidP="00E36084">
      <w:pPr>
        <w:jc w:val="both"/>
        <w:rPr>
          <w:bCs/>
        </w:rPr>
      </w:pPr>
    </w:p>
    <w:p w14:paraId="08D9E09A" w14:textId="77777777" w:rsidR="00CD26E9" w:rsidRPr="00E739FB" w:rsidRDefault="00CD26E9" w:rsidP="00E36084">
      <w:pPr>
        <w:jc w:val="both"/>
        <w:rPr>
          <w:bCs/>
        </w:rPr>
      </w:pPr>
    </w:p>
    <w:p w14:paraId="44B7E0FE" w14:textId="6D2FA41E" w:rsidR="00E65F7A" w:rsidRPr="00E739FB" w:rsidRDefault="00E65F7A" w:rsidP="00E36084">
      <w:pPr>
        <w:jc w:val="both"/>
        <w:rPr>
          <w:bCs/>
          <w:u w:val="single"/>
        </w:rPr>
      </w:pPr>
      <w:r w:rsidRPr="00E739FB">
        <w:rPr>
          <w:bCs/>
          <w:u w:val="single"/>
        </w:rPr>
        <w:t>Izvor 4</w:t>
      </w:r>
      <w:r w:rsidR="00A55D80" w:rsidRPr="00E739FB">
        <w:rPr>
          <w:bCs/>
          <w:u w:val="single"/>
        </w:rPr>
        <w:t>.</w:t>
      </w:r>
      <w:r w:rsidRPr="00E739FB">
        <w:rPr>
          <w:bCs/>
          <w:u w:val="single"/>
        </w:rPr>
        <w:t>3</w:t>
      </w:r>
      <w:r w:rsidR="00A55D80" w:rsidRPr="00E739FB">
        <w:rPr>
          <w:bCs/>
          <w:u w:val="single"/>
        </w:rPr>
        <w:t>.</w:t>
      </w:r>
      <w:r w:rsidRPr="00E739FB">
        <w:rPr>
          <w:bCs/>
          <w:u w:val="single"/>
        </w:rPr>
        <w:t xml:space="preserve"> Ostali prihodi za posebne namjene</w:t>
      </w:r>
    </w:p>
    <w:p w14:paraId="5E86FDAA" w14:textId="77777777" w:rsidR="00E65F7A" w:rsidRPr="00E739FB" w:rsidRDefault="00E65F7A" w:rsidP="00E36084">
      <w:pPr>
        <w:jc w:val="both"/>
        <w:rPr>
          <w:bCs/>
        </w:rPr>
      </w:pPr>
    </w:p>
    <w:p w14:paraId="4EF90ACB" w14:textId="6148EFBA" w:rsidR="00E65F7A" w:rsidRPr="00E739FB" w:rsidRDefault="00AE2142" w:rsidP="00E36084">
      <w:pPr>
        <w:jc w:val="both"/>
        <w:rPr>
          <w:bCs/>
        </w:rPr>
      </w:pPr>
      <w:r w:rsidRPr="00E739FB">
        <w:rPr>
          <w:bCs/>
        </w:rPr>
        <w:t>Realizirani r</w:t>
      </w:r>
      <w:r w:rsidR="00E62BC6" w:rsidRPr="00E739FB">
        <w:rPr>
          <w:bCs/>
        </w:rPr>
        <w:t xml:space="preserve">ashodi </w:t>
      </w:r>
      <w:r w:rsidR="0054776C" w:rsidRPr="00E739FB">
        <w:rPr>
          <w:bCs/>
        </w:rPr>
        <w:t xml:space="preserve">iznose </w:t>
      </w:r>
      <w:r w:rsidR="00D2234F" w:rsidRPr="00E739FB">
        <w:rPr>
          <w:bCs/>
        </w:rPr>
        <w:t>1</w:t>
      </w:r>
      <w:r w:rsidR="00A55D80" w:rsidRPr="00E739FB">
        <w:rPr>
          <w:bCs/>
        </w:rPr>
        <w:t>71.847,33</w:t>
      </w:r>
      <w:r w:rsidR="0054776C" w:rsidRPr="00E739FB">
        <w:rPr>
          <w:bCs/>
        </w:rPr>
        <w:t xml:space="preserve"> eura</w:t>
      </w:r>
      <w:r w:rsidRPr="00E739FB">
        <w:rPr>
          <w:bCs/>
        </w:rPr>
        <w:t xml:space="preserve"> odnosno 77,16 % planiranih rashoda za 2024 godinu</w:t>
      </w:r>
      <w:r w:rsidR="0054776C" w:rsidRPr="00E739FB">
        <w:rPr>
          <w:bCs/>
        </w:rPr>
        <w:t xml:space="preserve">. Najvećim dijelom se odnose na </w:t>
      </w:r>
      <w:r w:rsidR="00D2234F" w:rsidRPr="00E739FB">
        <w:rPr>
          <w:bCs/>
        </w:rPr>
        <w:t>materijalne rashode</w:t>
      </w:r>
      <w:r w:rsidR="0054776C" w:rsidRPr="00E739FB">
        <w:rPr>
          <w:bCs/>
        </w:rPr>
        <w:t xml:space="preserve"> i to usluge tekućeg i investicijskog održavanja objekata koji</w:t>
      </w:r>
      <w:r w:rsidR="00D2234F" w:rsidRPr="00E739FB">
        <w:rPr>
          <w:bCs/>
        </w:rPr>
        <w:t>ma</w:t>
      </w:r>
      <w:r w:rsidR="0054776C" w:rsidRPr="00E739FB">
        <w:rPr>
          <w:bCs/>
        </w:rPr>
        <w:t xml:space="preserve"> </w:t>
      </w:r>
      <w:r w:rsidR="00D2234F" w:rsidRPr="00E739FB">
        <w:rPr>
          <w:bCs/>
        </w:rPr>
        <w:t xml:space="preserve">Ustanova </w:t>
      </w:r>
      <w:r w:rsidR="0054776C" w:rsidRPr="00E739FB">
        <w:rPr>
          <w:bCs/>
        </w:rPr>
        <w:t>upravlj</w:t>
      </w:r>
      <w:r w:rsidR="00D2234F" w:rsidRPr="00E739FB">
        <w:rPr>
          <w:bCs/>
        </w:rPr>
        <w:t>a</w:t>
      </w:r>
      <w:r w:rsidR="0054776C" w:rsidRPr="00E739FB">
        <w:rPr>
          <w:bCs/>
        </w:rPr>
        <w:t xml:space="preserve">, </w:t>
      </w:r>
      <w:r w:rsidRPr="00E739FB">
        <w:rPr>
          <w:bCs/>
        </w:rPr>
        <w:t xml:space="preserve">intelektualne i osobne </w:t>
      </w:r>
      <w:r w:rsidR="0054776C" w:rsidRPr="00E739FB">
        <w:rPr>
          <w:bCs/>
        </w:rPr>
        <w:t>usluge temeljem ugovora studentskog servisa i ostale usluge</w:t>
      </w:r>
      <w:r w:rsidR="00433227" w:rsidRPr="00E739FB">
        <w:rPr>
          <w:bCs/>
        </w:rPr>
        <w:t xml:space="preserve"> za redovno poslovanje Ustanove.</w:t>
      </w:r>
      <w:r w:rsidR="00F85C41" w:rsidRPr="00E739FB">
        <w:rPr>
          <w:bCs/>
        </w:rPr>
        <w:t xml:space="preserve"> </w:t>
      </w:r>
    </w:p>
    <w:p w14:paraId="5DA971F2" w14:textId="77777777" w:rsidR="00612E02" w:rsidRPr="00E739FB" w:rsidRDefault="00612E02" w:rsidP="00E36084">
      <w:pPr>
        <w:jc w:val="both"/>
        <w:rPr>
          <w:bCs/>
        </w:rPr>
      </w:pPr>
    </w:p>
    <w:p w14:paraId="31D565E7" w14:textId="77777777" w:rsidR="00CD26E9" w:rsidRPr="00E739FB" w:rsidRDefault="00CD26E9" w:rsidP="00E36084">
      <w:pPr>
        <w:jc w:val="both"/>
        <w:rPr>
          <w:bCs/>
        </w:rPr>
      </w:pPr>
    </w:p>
    <w:p w14:paraId="1E9290CD" w14:textId="4B0C8644" w:rsidR="00E65F7A" w:rsidRPr="00E739FB" w:rsidRDefault="00E65F7A" w:rsidP="00E36084">
      <w:pPr>
        <w:jc w:val="both"/>
        <w:rPr>
          <w:bCs/>
          <w:u w:val="single"/>
        </w:rPr>
      </w:pPr>
      <w:r w:rsidRPr="00E739FB">
        <w:rPr>
          <w:bCs/>
          <w:u w:val="single"/>
        </w:rPr>
        <w:t>Izvor 5</w:t>
      </w:r>
      <w:r w:rsidR="00A55D80" w:rsidRPr="00E739FB">
        <w:rPr>
          <w:bCs/>
          <w:u w:val="single"/>
        </w:rPr>
        <w:t>.</w:t>
      </w:r>
      <w:r w:rsidRPr="00E739FB">
        <w:rPr>
          <w:bCs/>
          <w:u w:val="single"/>
        </w:rPr>
        <w:t>1</w:t>
      </w:r>
      <w:r w:rsidR="00A55D80" w:rsidRPr="00E739FB">
        <w:rPr>
          <w:bCs/>
          <w:u w:val="single"/>
        </w:rPr>
        <w:t>.</w:t>
      </w:r>
      <w:r w:rsidRPr="00E739FB">
        <w:rPr>
          <w:bCs/>
          <w:u w:val="single"/>
        </w:rPr>
        <w:t xml:space="preserve">  Pomoći EU</w:t>
      </w:r>
    </w:p>
    <w:p w14:paraId="0BC70A50" w14:textId="77777777" w:rsidR="00E65F7A" w:rsidRPr="00E739FB" w:rsidRDefault="00E65F7A" w:rsidP="00E36084">
      <w:pPr>
        <w:jc w:val="both"/>
        <w:rPr>
          <w:bCs/>
        </w:rPr>
      </w:pPr>
    </w:p>
    <w:p w14:paraId="14806E29" w14:textId="02DE3B63" w:rsidR="0003426E" w:rsidRPr="00E739FB" w:rsidRDefault="00E65F7A" w:rsidP="00E36084">
      <w:pPr>
        <w:jc w:val="both"/>
        <w:rPr>
          <w:bCs/>
        </w:rPr>
      </w:pPr>
      <w:r w:rsidRPr="00E739FB">
        <w:rPr>
          <w:bCs/>
        </w:rPr>
        <w:t>Iz</w:t>
      </w:r>
      <w:r w:rsidR="0003426E" w:rsidRPr="00E739FB">
        <w:rPr>
          <w:bCs/>
        </w:rPr>
        <w:t xml:space="preserve"> ostvarenog donosa viška iz prethodnog razdoblja po projektu „</w:t>
      </w:r>
      <w:proofErr w:type="spellStart"/>
      <w:r w:rsidR="0003426E" w:rsidRPr="00E739FB">
        <w:rPr>
          <w:bCs/>
        </w:rPr>
        <w:t>Sincere</w:t>
      </w:r>
      <w:proofErr w:type="spellEnd"/>
      <w:r w:rsidR="0003426E" w:rsidRPr="00E739FB">
        <w:rPr>
          <w:bCs/>
        </w:rPr>
        <w:t xml:space="preserve">“ u sklopu EU programa </w:t>
      </w:r>
      <w:proofErr w:type="spellStart"/>
      <w:r w:rsidR="0003426E" w:rsidRPr="00E739FB">
        <w:rPr>
          <w:bCs/>
        </w:rPr>
        <w:t>Horizon</w:t>
      </w:r>
      <w:proofErr w:type="spellEnd"/>
      <w:r w:rsidR="0003426E" w:rsidRPr="00E739FB">
        <w:rPr>
          <w:bCs/>
        </w:rPr>
        <w:t xml:space="preserve"> 2020 u iznosu </w:t>
      </w:r>
      <w:r w:rsidR="00A55D80" w:rsidRPr="00E739FB">
        <w:rPr>
          <w:bCs/>
        </w:rPr>
        <w:t>2.291,45</w:t>
      </w:r>
      <w:r w:rsidR="0003426E" w:rsidRPr="00E739FB">
        <w:rPr>
          <w:bCs/>
        </w:rPr>
        <w:t xml:space="preserve"> eura iskazani su rashodi za službena putovanja u svezi inovacija u šumskom ekosustavu. </w:t>
      </w:r>
    </w:p>
    <w:p w14:paraId="3BB365CB" w14:textId="77777777" w:rsidR="0003426E" w:rsidRPr="00E739FB" w:rsidRDefault="0003426E" w:rsidP="00E36084">
      <w:pPr>
        <w:jc w:val="both"/>
        <w:rPr>
          <w:bCs/>
        </w:rPr>
      </w:pPr>
    </w:p>
    <w:p w14:paraId="0BC567F5" w14:textId="77777777" w:rsidR="00CD26E9" w:rsidRPr="00E739FB" w:rsidRDefault="00CD26E9" w:rsidP="00E36084">
      <w:pPr>
        <w:jc w:val="both"/>
        <w:rPr>
          <w:bCs/>
        </w:rPr>
      </w:pPr>
    </w:p>
    <w:p w14:paraId="3B7F2A0E" w14:textId="02582E56" w:rsidR="00E65F7A" w:rsidRPr="00E739FB" w:rsidRDefault="00E65F7A" w:rsidP="00E36084">
      <w:pPr>
        <w:jc w:val="both"/>
        <w:rPr>
          <w:bCs/>
          <w:u w:val="single"/>
        </w:rPr>
      </w:pPr>
      <w:r w:rsidRPr="00E739FB">
        <w:rPr>
          <w:bCs/>
          <w:u w:val="single"/>
        </w:rPr>
        <w:t>Izvor 5</w:t>
      </w:r>
      <w:r w:rsidR="00A55D80" w:rsidRPr="00E739FB">
        <w:rPr>
          <w:bCs/>
          <w:u w:val="single"/>
        </w:rPr>
        <w:t>.</w:t>
      </w:r>
      <w:r w:rsidRPr="00E739FB">
        <w:rPr>
          <w:bCs/>
          <w:u w:val="single"/>
        </w:rPr>
        <w:t>2</w:t>
      </w:r>
      <w:r w:rsidR="00A55D80" w:rsidRPr="00E739FB">
        <w:rPr>
          <w:bCs/>
          <w:u w:val="single"/>
        </w:rPr>
        <w:t>.</w:t>
      </w:r>
      <w:r w:rsidRPr="00E739FB">
        <w:rPr>
          <w:bCs/>
          <w:u w:val="single"/>
        </w:rPr>
        <w:t xml:space="preserve"> Ostale pomoći</w:t>
      </w:r>
    </w:p>
    <w:p w14:paraId="5448C796" w14:textId="77777777" w:rsidR="00F85C41" w:rsidRPr="00E739FB" w:rsidRDefault="00F85C41" w:rsidP="00E36084">
      <w:pPr>
        <w:jc w:val="both"/>
        <w:rPr>
          <w:bCs/>
        </w:rPr>
      </w:pPr>
    </w:p>
    <w:p w14:paraId="4813EC6F" w14:textId="3E886A0B" w:rsidR="0099430E" w:rsidRPr="00E739FB" w:rsidRDefault="00E65F7A" w:rsidP="00E36084">
      <w:pPr>
        <w:jc w:val="both"/>
        <w:rPr>
          <w:bCs/>
        </w:rPr>
      </w:pPr>
      <w:r w:rsidRPr="00E739FB">
        <w:rPr>
          <w:bCs/>
        </w:rPr>
        <w:t>U</w:t>
      </w:r>
      <w:r w:rsidR="0003426E" w:rsidRPr="00E739FB">
        <w:rPr>
          <w:bCs/>
        </w:rPr>
        <w:t xml:space="preserve"> izvještajnom razdoblju tekuće godine</w:t>
      </w:r>
      <w:r w:rsidRPr="00E739FB">
        <w:rPr>
          <w:bCs/>
        </w:rPr>
        <w:t xml:space="preserve"> na izvoru 5</w:t>
      </w:r>
      <w:r w:rsidR="00B43C45" w:rsidRPr="00E739FB">
        <w:rPr>
          <w:bCs/>
        </w:rPr>
        <w:t>.</w:t>
      </w:r>
      <w:r w:rsidRPr="00E739FB">
        <w:rPr>
          <w:bCs/>
        </w:rPr>
        <w:t>2</w:t>
      </w:r>
      <w:r w:rsidR="00B43C45" w:rsidRPr="00E739FB">
        <w:rPr>
          <w:bCs/>
        </w:rPr>
        <w:t>.</w:t>
      </w:r>
      <w:r w:rsidRPr="00E739FB">
        <w:rPr>
          <w:bCs/>
        </w:rPr>
        <w:t xml:space="preserve"> Ostale pomoći</w:t>
      </w:r>
      <w:r w:rsidR="0003426E" w:rsidRPr="00E739FB">
        <w:rPr>
          <w:bCs/>
        </w:rPr>
        <w:t xml:space="preserve"> </w:t>
      </w:r>
      <w:r w:rsidR="0099430E" w:rsidRPr="00E739FB">
        <w:rPr>
          <w:bCs/>
        </w:rPr>
        <w:t>realizirani</w:t>
      </w:r>
      <w:r w:rsidR="00F85C41" w:rsidRPr="00E739FB">
        <w:rPr>
          <w:bCs/>
        </w:rPr>
        <w:t xml:space="preserve"> su rashodi u ukupnom iznosu </w:t>
      </w:r>
      <w:r w:rsidR="00B43C45" w:rsidRPr="00E739FB">
        <w:rPr>
          <w:bCs/>
        </w:rPr>
        <w:t>159.547,13</w:t>
      </w:r>
      <w:r w:rsidR="00F85C41" w:rsidRPr="00E739FB">
        <w:rPr>
          <w:bCs/>
        </w:rPr>
        <w:t xml:space="preserve"> eura</w:t>
      </w:r>
      <w:r w:rsidR="007751B4" w:rsidRPr="00E739FB">
        <w:rPr>
          <w:bCs/>
        </w:rPr>
        <w:t xml:space="preserve"> </w:t>
      </w:r>
      <w:r w:rsidR="0099430E" w:rsidRPr="00E739FB">
        <w:rPr>
          <w:bCs/>
        </w:rPr>
        <w:t>odnosno 57,30 % planiranih rashoda za 2024. godinu</w:t>
      </w:r>
      <w:r w:rsidR="00196F0E" w:rsidRPr="00E739FB">
        <w:rPr>
          <w:bCs/>
        </w:rPr>
        <w:t>.</w:t>
      </w:r>
      <w:r w:rsidR="00ED4F4C">
        <w:rPr>
          <w:bCs/>
        </w:rPr>
        <w:t xml:space="preserve"> </w:t>
      </w:r>
    </w:p>
    <w:p w14:paraId="67B0B6B0" w14:textId="77777777" w:rsidR="00196F0E" w:rsidRPr="00E739FB" w:rsidRDefault="00196F0E" w:rsidP="00E36084">
      <w:pPr>
        <w:jc w:val="both"/>
        <w:rPr>
          <w:bCs/>
        </w:rPr>
      </w:pPr>
    </w:p>
    <w:p w14:paraId="4D5BFF03" w14:textId="4BF8C2F7" w:rsidR="00196F0E" w:rsidRPr="00E739FB" w:rsidRDefault="00196F0E" w:rsidP="00196F0E">
      <w:pPr>
        <w:jc w:val="both"/>
        <w:rPr>
          <w:bCs/>
        </w:rPr>
      </w:pPr>
      <w:r w:rsidRPr="00E739FB">
        <w:rPr>
          <w:bCs/>
        </w:rPr>
        <w:t>Rashodi financirani od Grada Zagreba</w:t>
      </w:r>
      <w:r w:rsidR="00D12FB9" w:rsidRPr="00E739FB">
        <w:rPr>
          <w:bCs/>
        </w:rPr>
        <w:t xml:space="preserve"> iz donosa viška prethodnog razdoblja</w:t>
      </w:r>
      <w:r w:rsidRPr="00E739FB">
        <w:rPr>
          <w:bCs/>
        </w:rPr>
        <w:t>:</w:t>
      </w:r>
    </w:p>
    <w:p w14:paraId="5D52F8EB" w14:textId="67D78881" w:rsidR="00196F0E" w:rsidRPr="00E739FB" w:rsidRDefault="00196F0E" w:rsidP="00196F0E">
      <w:pPr>
        <w:pStyle w:val="ListParagraph"/>
        <w:numPr>
          <w:ilvl w:val="0"/>
          <w:numId w:val="14"/>
        </w:numPr>
        <w:jc w:val="both"/>
        <w:rPr>
          <w:bCs/>
        </w:rPr>
      </w:pPr>
      <w:r w:rsidRPr="00E739FB">
        <w:rPr>
          <w:bCs/>
        </w:rPr>
        <w:t>Rashodi za nabavu nefinancijske imovine za uređenje „Rudarskog vrta i Rudnika Zrinski“ u iznosu 109.215,33 eura</w:t>
      </w:r>
      <w:r w:rsidR="00D12FB9" w:rsidRPr="00E739FB">
        <w:rPr>
          <w:bCs/>
        </w:rPr>
        <w:t>.</w:t>
      </w:r>
    </w:p>
    <w:p w14:paraId="1A376F79" w14:textId="77777777" w:rsidR="00196F0E" w:rsidRPr="00E739FB" w:rsidRDefault="00196F0E" w:rsidP="00E36084">
      <w:pPr>
        <w:jc w:val="both"/>
        <w:rPr>
          <w:bCs/>
        </w:rPr>
      </w:pPr>
    </w:p>
    <w:p w14:paraId="7CB68EEB" w14:textId="53243F9D" w:rsidR="00196F0E" w:rsidRPr="00E739FB" w:rsidRDefault="00196F0E" w:rsidP="00E36084">
      <w:pPr>
        <w:jc w:val="both"/>
        <w:rPr>
          <w:bCs/>
        </w:rPr>
      </w:pPr>
      <w:r w:rsidRPr="00E739FB">
        <w:rPr>
          <w:bCs/>
        </w:rPr>
        <w:t>Rashodi djelomično financirani od Fonda za zaštitu okoliša i energetsku učinkovitost:</w:t>
      </w:r>
    </w:p>
    <w:p w14:paraId="568EDDD3" w14:textId="529C9CB2" w:rsidR="00196F0E" w:rsidRPr="00E739FB" w:rsidRDefault="00196F0E" w:rsidP="00196F0E">
      <w:pPr>
        <w:pStyle w:val="ListParagraph"/>
        <w:numPr>
          <w:ilvl w:val="0"/>
          <w:numId w:val="14"/>
        </w:numPr>
        <w:jc w:val="both"/>
        <w:rPr>
          <w:bCs/>
        </w:rPr>
      </w:pPr>
      <w:r w:rsidRPr="00E739FB">
        <w:rPr>
          <w:bCs/>
        </w:rPr>
        <w:t>Materijalni rashodi za održavanje 2. znanstvenog stručnog skupa „Zeleni dodir Medvednice“ u iznosu 7.107,80 eura</w:t>
      </w:r>
      <w:r w:rsidR="00D12FB9" w:rsidRPr="00E739FB">
        <w:rPr>
          <w:bCs/>
        </w:rPr>
        <w:t>;</w:t>
      </w:r>
    </w:p>
    <w:p w14:paraId="1FDCEB7D" w14:textId="5D343EB7" w:rsidR="00196F0E" w:rsidRPr="00E739FB" w:rsidRDefault="00196F0E" w:rsidP="00196F0E">
      <w:pPr>
        <w:pStyle w:val="ListParagraph"/>
        <w:numPr>
          <w:ilvl w:val="0"/>
          <w:numId w:val="14"/>
        </w:numPr>
        <w:jc w:val="both"/>
        <w:rPr>
          <w:bCs/>
        </w:rPr>
      </w:pPr>
      <w:r w:rsidRPr="00E739FB">
        <w:rPr>
          <w:bCs/>
        </w:rPr>
        <w:t>Rashodi za izradu projektne dokumentacije za projekt „Šetnica Medvedgrad“ u iznosu 11.950,00 eura</w:t>
      </w:r>
      <w:r w:rsidR="00D12FB9" w:rsidRPr="00E739FB">
        <w:rPr>
          <w:bCs/>
        </w:rPr>
        <w:t>.</w:t>
      </w:r>
      <w:r w:rsidRPr="00E739FB">
        <w:rPr>
          <w:bCs/>
        </w:rPr>
        <w:t xml:space="preserve"> </w:t>
      </w:r>
    </w:p>
    <w:p w14:paraId="3F857D86" w14:textId="77777777" w:rsidR="00196F0E" w:rsidRPr="00E739FB" w:rsidRDefault="00196F0E" w:rsidP="00E36084">
      <w:pPr>
        <w:jc w:val="both"/>
        <w:rPr>
          <w:bCs/>
        </w:rPr>
      </w:pPr>
    </w:p>
    <w:p w14:paraId="63A59148" w14:textId="666330A0" w:rsidR="00B51091" w:rsidRPr="00E739FB" w:rsidRDefault="00196F0E" w:rsidP="00E36084">
      <w:pPr>
        <w:jc w:val="both"/>
        <w:rPr>
          <w:bCs/>
        </w:rPr>
      </w:pPr>
      <w:r w:rsidRPr="00E739FB">
        <w:rPr>
          <w:bCs/>
        </w:rPr>
        <w:t>Rashodi financirani od Zajedničkih sredstava parkova Hrvatske:</w:t>
      </w:r>
    </w:p>
    <w:p w14:paraId="3BAC511A" w14:textId="6AF8DA31" w:rsidR="008322F9" w:rsidRPr="00E739FB" w:rsidRDefault="008322F9" w:rsidP="008322F9">
      <w:pPr>
        <w:pStyle w:val="ListParagraph"/>
        <w:numPr>
          <w:ilvl w:val="0"/>
          <w:numId w:val="14"/>
        </w:numPr>
        <w:jc w:val="both"/>
        <w:rPr>
          <w:bCs/>
        </w:rPr>
      </w:pPr>
      <w:r w:rsidRPr="00E739FB">
        <w:rPr>
          <w:bCs/>
        </w:rPr>
        <w:t xml:space="preserve">Materijalni rashodi za uklanjanje invazivnih vrsta </w:t>
      </w:r>
      <w:r w:rsidR="00196F0E" w:rsidRPr="00E739FB">
        <w:rPr>
          <w:bCs/>
        </w:rPr>
        <w:t>u iznosu</w:t>
      </w:r>
      <w:r w:rsidRPr="00E739FB">
        <w:rPr>
          <w:bCs/>
        </w:rPr>
        <w:t xml:space="preserve"> 7.725,00 eura</w:t>
      </w:r>
      <w:r w:rsidR="00D12FB9" w:rsidRPr="00E739FB">
        <w:rPr>
          <w:bCs/>
        </w:rPr>
        <w:t>;</w:t>
      </w:r>
    </w:p>
    <w:p w14:paraId="3B4EBB3B" w14:textId="6A43BD1B" w:rsidR="00CB491C" w:rsidRPr="00E739FB" w:rsidRDefault="00CB491C" w:rsidP="00CB491C">
      <w:pPr>
        <w:pStyle w:val="ListParagraph"/>
        <w:numPr>
          <w:ilvl w:val="0"/>
          <w:numId w:val="14"/>
        </w:numPr>
        <w:jc w:val="both"/>
        <w:rPr>
          <w:bCs/>
        </w:rPr>
      </w:pPr>
      <w:r w:rsidRPr="00E739FB">
        <w:rPr>
          <w:bCs/>
        </w:rPr>
        <w:t xml:space="preserve">Rashodi za izradu projektne dokumentacije za prihvatljivu rasvjetu u špilji Veternica </w:t>
      </w:r>
      <w:r w:rsidR="00196F0E" w:rsidRPr="00E739FB">
        <w:rPr>
          <w:bCs/>
        </w:rPr>
        <w:t xml:space="preserve">u iznosu </w:t>
      </w:r>
      <w:r w:rsidRPr="00E739FB">
        <w:rPr>
          <w:bCs/>
        </w:rPr>
        <w:t xml:space="preserve"> 5.000,00 eura</w:t>
      </w:r>
      <w:r w:rsidR="00D12FB9" w:rsidRPr="00E739FB">
        <w:rPr>
          <w:bCs/>
        </w:rPr>
        <w:t>;</w:t>
      </w:r>
    </w:p>
    <w:p w14:paraId="379447E3" w14:textId="722E035B" w:rsidR="008322F9" w:rsidRPr="00E739FB" w:rsidRDefault="008322F9" w:rsidP="008322F9">
      <w:pPr>
        <w:pStyle w:val="ListParagraph"/>
        <w:numPr>
          <w:ilvl w:val="0"/>
          <w:numId w:val="14"/>
        </w:numPr>
        <w:jc w:val="both"/>
        <w:rPr>
          <w:bCs/>
        </w:rPr>
      </w:pPr>
      <w:r w:rsidRPr="00E739FB">
        <w:rPr>
          <w:bCs/>
        </w:rPr>
        <w:t xml:space="preserve">Rashodi za nabavu mjernih instrumenata i uređaja za praćenje mikroklimatskih parametara u špilji Veternici </w:t>
      </w:r>
      <w:r w:rsidR="00196F0E" w:rsidRPr="00E739FB">
        <w:rPr>
          <w:bCs/>
        </w:rPr>
        <w:t>u iznosu</w:t>
      </w:r>
      <w:r w:rsidRPr="00E739FB">
        <w:rPr>
          <w:bCs/>
        </w:rPr>
        <w:t xml:space="preserve"> 16.399,00 eura</w:t>
      </w:r>
      <w:r w:rsidR="00D12FB9" w:rsidRPr="00E739FB">
        <w:rPr>
          <w:bCs/>
        </w:rPr>
        <w:t xml:space="preserve"> iz donosa viška iz prethodnog razdoblja;</w:t>
      </w:r>
      <w:r w:rsidRPr="00E739FB">
        <w:rPr>
          <w:bCs/>
        </w:rPr>
        <w:t xml:space="preserve"> </w:t>
      </w:r>
    </w:p>
    <w:p w14:paraId="1D6282C3" w14:textId="7DC5B791" w:rsidR="001564F1" w:rsidRPr="00E739FB" w:rsidRDefault="00CB491C" w:rsidP="00AE58D6">
      <w:pPr>
        <w:pStyle w:val="ListParagraph"/>
        <w:numPr>
          <w:ilvl w:val="0"/>
          <w:numId w:val="14"/>
        </w:numPr>
        <w:jc w:val="both"/>
        <w:rPr>
          <w:bCs/>
        </w:rPr>
      </w:pPr>
      <w:r w:rsidRPr="00E739FB">
        <w:rPr>
          <w:bCs/>
        </w:rPr>
        <w:t xml:space="preserve">Rashodi za ugradnju solara na Centru za posjetitelje Medvedgrad radi uštede električne energije </w:t>
      </w:r>
      <w:r w:rsidR="00196F0E" w:rsidRPr="00E739FB">
        <w:rPr>
          <w:bCs/>
        </w:rPr>
        <w:t>u iznosu</w:t>
      </w:r>
      <w:r w:rsidR="00A62056" w:rsidRPr="00E739FB">
        <w:rPr>
          <w:bCs/>
        </w:rPr>
        <w:t xml:space="preserve"> 2.</w:t>
      </w:r>
      <w:r w:rsidR="00196F0E" w:rsidRPr="00E739FB">
        <w:rPr>
          <w:bCs/>
        </w:rPr>
        <w:t>15</w:t>
      </w:r>
      <w:r w:rsidR="00A62056" w:rsidRPr="00E739FB">
        <w:rPr>
          <w:bCs/>
        </w:rPr>
        <w:t>0,00 eura</w:t>
      </w:r>
      <w:r w:rsidR="00196F0E" w:rsidRPr="00E739FB">
        <w:rPr>
          <w:bCs/>
        </w:rPr>
        <w:t>.</w:t>
      </w:r>
    </w:p>
    <w:p w14:paraId="6235728A" w14:textId="77777777" w:rsidR="00196F0E" w:rsidRPr="00E739FB" w:rsidRDefault="00196F0E" w:rsidP="00E36084">
      <w:pPr>
        <w:jc w:val="both"/>
        <w:rPr>
          <w:bCs/>
        </w:rPr>
      </w:pPr>
    </w:p>
    <w:p w14:paraId="277DB541" w14:textId="77777777" w:rsidR="00196F0E" w:rsidRPr="00E739FB" w:rsidRDefault="00196F0E" w:rsidP="00E36084">
      <w:pPr>
        <w:jc w:val="both"/>
        <w:rPr>
          <w:bCs/>
        </w:rPr>
      </w:pPr>
    </w:p>
    <w:p w14:paraId="4BCC8CFB" w14:textId="11462311" w:rsidR="00DA22FC" w:rsidRPr="00E739FB" w:rsidRDefault="00DA22FC" w:rsidP="00DA22FC">
      <w:pPr>
        <w:jc w:val="both"/>
        <w:rPr>
          <w:bCs/>
          <w:u w:val="single"/>
        </w:rPr>
      </w:pPr>
      <w:r w:rsidRPr="00E739FB">
        <w:rPr>
          <w:bCs/>
          <w:u w:val="single"/>
        </w:rPr>
        <w:t>Izvor 6</w:t>
      </w:r>
      <w:r w:rsidR="00A55D80" w:rsidRPr="00E739FB">
        <w:rPr>
          <w:bCs/>
          <w:u w:val="single"/>
        </w:rPr>
        <w:t>.</w:t>
      </w:r>
      <w:r w:rsidRPr="00E739FB">
        <w:rPr>
          <w:bCs/>
          <w:u w:val="single"/>
        </w:rPr>
        <w:t>1</w:t>
      </w:r>
      <w:r w:rsidR="00A55D80" w:rsidRPr="00E739FB">
        <w:rPr>
          <w:bCs/>
          <w:u w:val="single"/>
        </w:rPr>
        <w:t>.</w:t>
      </w:r>
      <w:r w:rsidRPr="00E739FB">
        <w:rPr>
          <w:bCs/>
          <w:u w:val="single"/>
        </w:rPr>
        <w:t xml:space="preserve"> Donacije</w:t>
      </w:r>
    </w:p>
    <w:p w14:paraId="01494876" w14:textId="77777777" w:rsidR="00DA22FC" w:rsidRPr="00E739FB" w:rsidRDefault="00DA22FC" w:rsidP="00DA22FC">
      <w:pPr>
        <w:jc w:val="both"/>
        <w:rPr>
          <w:bCs/>
        </w:rPr>
      </w:pPr>
    </w:p>
    <w:p w14:paraId="1CA3B081" w14:textId="567DA49B" w:rsidR="00880FCC" w:rsidRPr="00E739FB" w:rsidRDefault="00DA22FC" w:rsidP="00E36084">
      <w:pPr>
        <w:jc w:val="both"/>
        <w:rPr>
          <w:bCs/>
        </w:rPr>
      </w:pPr>
      <w:r w:rsidRPr="00E739FB">
        <w:rPr>
          <w:bCs/>
        </w:rPr>
        <w:t>U izvještajnom razdoblju tekuće godine na izvoru 6</w:t>
      </w:r>
      <w:r w:rsidR="00A55D80" w:rsidRPr="00E739FB">
        <w:rPr>
          <w:bCs/>
        </w:rPr>
        <w:t>.</w:t>
      </w:r>
      <w:r w:rsidRPr="00E739FB">
        <w:rPr>
          <w:bCs/>
        </w:rPr>
        <w:t>1</w:t>
      </w:r>
      <w:r w:rsidR="00A55D80" w:rsidRPr="00E739FB">
        <w:rPr>
          <w:bCs/>
        </w:rPr>
        <w:t>.</w:t>
      </w:r>
      <w:r w:rsidRPr="00E739FB">
        <w:rPr>
          <w:bCs/>
        </w:rPr>
        <w:t xml:space="preserve"> Donacije izvršeni su rashodi u iznosu od </w:t>
      </w:r>
      <w:r w:rsidR="00880FCC" w:rsidRPr="00E739FB">
        <w:rPr>
          <w:bCs/>
        </w:rPr>
        <w:t>10</w:t>
      </w:r>
      <w:r w:rsidRPr="00E739FB">
        <w:rPr>
          <w:bCs/>
        </w:rPr>
        <w:t>.</w:t>
      </w:r>
      <w:r w:rsidR="00880FCC" w:rsidRPr="00E739FB">
        <w:rPr>
          <w:bCs/>
        </w:rPr>
        <w:t>00</w:t>
      </w:r>
      <w:r w:rsidRPr="00E739FB">
        <w:rPr>
          <w:bCs/>
        </w:rPr>
        <w:t>0,00 eura za</w:t>
      </w:r>
      <w:r w:rsidR="00A55D80" w:rsidRPr="00E739FB">
        <w:rPr>
          <w:bCs/>
        </w:rPr>
        <w:t xml:space="preserve"> usluge promidžbe i informiranja, zakupnine i najamnine i intelektualne i osobne usluge za</w:t>
      </w:r>
      <w:r w:rsidR="00AE2142" w:rsidRPr="00E739FB">
        <w:rPr>
          <w:bCs/>
        </w:rPr>
        <w:t xml:space="preserve"> sljedeće:</w:t>
      </w:r>
      <w:r w:rsidR="00A55D80" w:rsidRPr="00E739FB">
        <w:rPr>
          <w:bCs/>
        </w:rPr>
        <w:t xml:space="preserve"> </w:t>
      </w:r>
    </w:p>
    <w:p w14:paraId="1DD31BAE" w14:textId="728A231A" w:rsidR="00A55D80" w:rsidRPr="00E739FB" w:rsidRDefault="00D2234F" w:rsidP="00880FCC">
      <w:pPr>
        <w:pStyle w:val="ListParagraph"/>
        <w:numPr>
          <w:ilvl w:val="0"/>
          <w:numId w:val="11"/>
        </w:numPr>
        <w:jc w:val="both"/>
        <w:rPr>
          <w:bCs/>
        </w:rPr>
      </w:pPr>
      <w:r w:rsidRPr="00E739FB">
        <w:rPr>
          <w:bCs/>
        </w:rPr>
        <w:t>online promidžb</w:t>
      </w:r>
      <w:r w:rsidR="00A55D80" w:rsidRPr="00E739FB">
        <w:rPr>
          <w:bCs/>
        </w:rPr>
        <w:t>u</w:t>
      </w:r>
      <w:r w:rsidRPr="00E739FB">
        <w:rPr>
          <w:bCs/>
        </w:rPr>
        <w:t xml:space="preserve">/oglašavanje Centra za posjetitelje Medvedgrad i svih turističkih vrijednosti </w:t>
      </w:r>
      <w:r w:rsidR="00C961F4">
        <w:rPr>
          <w:bCs/>
        </w:rPr>
        <w:t>Parka</w:t>
      </w:r>
    </w:p>
    <w:p w14:paraId="35F87C8C" w14:textId="06192554" w:rsidR="00A55D80" w:rsidRPr="00E739FB" w:rsidRDefault="00880FCC" w:rsidP="00A55D80">
      <w:pPr>
        <w:pStyle w:val="ListParagraph"/>
        <w:numPr>
          <w:ilvl w:val="0"/>
          <w:numId w:val="11"/>
        </w:numPr>
        <w:jc w:val="both"/>
        <w:rPr>
          <w:bCs/>
        </w:rPr>
      </w:pPr>
      <w:r w:rsidRPr="00E739FB">
        <w:rPr>
          <w:bCs/>
        </w:rPr>
        <w:t>izrad</w:t>
      </w:r>
      <w:r w:rsidR="00A55D80" w:rsidRPr="00E739FB">
        <w:rPr>
          <w:bCs/>
        </w:rPr>
        <w:t>u</w:t>
      </w:r>
      <w:r w:rsidRPr="00E739FB">
        <w:rPr>
          <w:bCs/>
        </w:rPr>
        <w:t xml:space="preserve"> dvojezičnih </w:t>
      </w:r>
      <w:r w:rsidR="00A55D80" w:rsidRPr="00E739FB">
        <w:rPr>
          <w:bCs/>
        </w:rPr>
        <w:t>(</w:t>
      </w:r>
      <w:r w:rsidRPr="00E739FB">
        <w:rPr>
          <w:bCs/>
        </w:rPr>
        <w:t>hrvatsk</w:t>
      </w:r>
      <w:r w:rsidR="00A55D80" w:rsidRPr="00E739FB">
        <w:rPr>
          <w:bCs/>
        </w:rPr>
        <w:t>i/</w:t>
      </w:r>
      <w:r w:rsidRPr="00E739FB">
        <w:rPr>
          <w:bCs/>
        </w:rPr>
        <w:t>englesk</w:t>
      </w:r>
      <w:r w:rsidR="00A55D80" w:rsidRPr="00E739FB">
        <w:rPr>
          <w:bCs/>
        </w:rPr>
        <w:t>i) turističkih</w:t>
      </w:r>
      <w:r w:rsidRPr="00E739FB">
        <w:rPr>
          <w:bCs/>
        </w:rPr>
        <w:t xml:space="preserve"> blok</w:t>
      </w:r>
      <w:r w:rsidR="00A55D80" w:rsidRPr="00E739FB">
        <w:rPr>
          <w:bCs/>
        </w:rPr>
        <w:t xml:space="preserve"> karata</w:t>
      </w:r>
      <w:r w:rsidRPr="00E739FB">
        <w:rPr>
          <w:bCs/>
        </w:rPr>
        <w:t xml:space="preserve"> </w:t>
      </w:r>
    </w:p>
    <w:p w14:paraId="34AA3115" w14:textId="45FCB674" w:rsidR="00880FCC" w:rsidRPr="00E739FB" w:rsidRDefault="00880FCC" w:rsidP="00880FCC">
      <w:pPr>
        <w:pStyle w:val="ListParagraph"/>
        <w:numPr>
          <w:ilvl w:val="0"/>
          <w:numId w:val="11"/>
        </w:numPr>
        <w:jc w:val="both"/>
        <w:rPr>
          <w:bCs/>
        </w:rPr>
      </w:pPr>
      <w:r w:rsidRPr="00E739FB">
        <w:rPr>
          <w:bCs/>
        </w:rPr>
        <w:t>održavanje 2. znanstveno stručno</w:t>
      </w:r>
      <w:r w:rsidR="00A55D80" w:rsidRPr="00E739FB">
        <w:rPr>
          <w:bCs/>
        </w:rPr>
        <w:t>g</w:t>
      </w:r>
      <w:r w:rsidRPr="00E739FB">
        <w:rPr>
          <w:bCs/>
        </w:rPr>
        <w:t xml:space="preserve"> skupa „Zeleni dodir Medvednice</w:t>
      </w:r>
      <w:r w:rsidR="00A55D80" w:rsidRPr="00E739FB">
        <w:rPr>
          <w:bCs/>
        </w:rPr>
        <w:t>“</w:t>
      </w:r>
    </w:p>
    <w:p w14:paraId="0A6269AB" w14:textId="314BED6F" w:rsidR="00DA22FC" w:rsidRPr="00E739FB" w:rsidRDefault="00D2234F" w:rsidP="00880FCC">
      <w:pPr>
        <w:pStyle w:val="ListParagraph"/>
        <w:numPr>
          <w:ilvl w:val="0"/>
          <w:numId w:val="11"/>
        </w:numPr>
        <w:jc w:val="both"/>
        <w:rPr>
          <w:bCs/>
        </w:rPr>
      </w:pPr>
      <w:r w:rsidRPr="00E739FB">
        <w:rPr>
          <w:bCs/>
        </w:rPr>
        <w:t>održavanje manifestacij</w:t>
      </w:r>
      <w:r w:rsidR="00A55D80" w:rsidRPr="00E739FB">
        <w:rPr>
          <w:bCs/>
        </w:rPr>
        <w:t>a</w:t>
      </w:r>
      <w:r w:rsidRPr="00E739FB">
        <w:rPr>
          <w:bCs/>
        </w:rPr>
        <w:t xml:space="preserve"> „XVI</w:t>
      </w:r>
      <w:r w:rsidR="007217DC">
        <w:rPr>
          <w:bCs/>
        </w:rPr>
        <w:t>I</w:t>
      </w:r>
      <w:r w:rsidRPr="00E739FB">
        <w:rPr>
          <w:bCs/>
        </w:rPr>
        <w:t>. Srednjovjekovni dani na Medvednici“</w:t>
      </w:r>
      <w:r w:rsidR="00A55D80" w:rsidRPr="00E739FB">
        <w:rPr>
          <w:bCs/>
        </w:rPr>
        <w:t xml:space="preserve"> i Međunarodna noć šišmiša</w:t>
      </w:r>
    </w:p>
    <w:p w14:paraId="622D1A78" w14:textId="77777777" w:rsidR="00E36084" w:rsidRPr="00E739FB" w:rsidRDefault="00E36084" w:rsidP="00E36084">
      <w:pPr>
        <w:jc w:val="both"/>
        <w:rPr>
          <w:bCs/>
        </w:rPr>
      </w:pPr>
    </w:p>
    <w:p w14:paraId="7C1D236B" w14:textId="77777777" w:rsidR="005000BD" w:rsidRPr="00E739FB" w:rsidRDefault="005000BD" w:rsidP="00E36084">
      <w:pPr>
        <w:jc w:val="both"/>
        <w:rPr>
          <w:bCs/>
        </w:rPr>
      </w:pPr>
    </w:p>
    <w:p w14:paraId="31057276" w14:textId="77777777" w:rsidR="005000BD" w:rsidRPr="00E739FB" w:rsidRDefault="00B0185C" w:rsidP="00771B92">
      <w:pPr>
        <w:pStyle w:val="ListParagraph"/>
        <w:numPr>
          <w:ilvl w:val="0"/>
          <w:numId w:val="5"/>
        </w:numPr>
        <w:jc w:val="both"/>
        <w:rPr>
          <w:b/>
        </w:rPr>
      </w:pPr>
      <w:r w:rsidRPr="00E739FB">
        <w:rPr>
          <w:b/>
        </w:rPr>
        <w:t>P</w:t>
      </w:r>
      <w:r w:rsidR="005C4DBC" w:rsidRPr="00E739FB">
        <w:rPr>
          <w:b/>
        </w:rPr>
        <w:t xml:space="preserve">OSEBNI IZVJEŠTAJI U GODIŠNJEM IZVJEŠTAJU O IZVRŠENJU </w:t>
      </w:r>
      <w:r w:rsidR="00A81CE0" w:rsidRPr="00E739FB">
        <w:rPr>
          <w:b/>
        </w:rPr>
        <w:t>FINANCIJSKOG PLANA</w:t>
      </w:r>
    </w:p>
    <w:p w14:paraId="4A9B7905" w14:textId="401442B5" w:rsidR="00B0185C" w:rsidRPr="00E739FB" w:rsidRDefault="00B0185C" w:rsidP="005000BD">
      <w:pPr>
        <w:pStyle w:val="ListParagraph"/>
        <w:jc w:val="both"/>
        <w:rPr>
          <w:b/>
        </w:rPr>
      </w:pPr>
    </w:p>
    <w:p w14:paraId="26533BCC" w14:textId="77777777" w:rsidR="00CD26E9" w:rsidRPr="00E739FB" w:rsidRDefault="00CD26E9" w:rsidP="005000BD">
      <w:pPr>
        <w:pStyle w:val="ListParagraph"/>
        <w:jc w:val="both"/>
        <w:rPr>
          <w:b/>
        </w:rPr>
      </w:pPr>
    </w:p>
    <w:p w14:paraId="45FE4512" w14:textId="2DCFC4BA" w:rsidR="00B0185C" w:rsidRPr="00E739FB" w:rsidRDefault="00B0185C" w:rsidP="00771B92">
      <w:pPr>
        <w:pStyle w:val="ListParagraph"/>
        <w:numPr>
          <w:ilvl w:val="1"/>
          <w:numId w:val="5"/>
        </w:numPr>
        <w:jc w:val="both"/>
        <w:rPr>
          <w:b/>
        </w:rPr>
      </w:pPr>
      <w:r w:rsidRPr="00E739FB">
        <w:rPr>
          <w:b/>
        </w:rPr>
        <w:t>Izvještaj o zaduživanju na domaćem i stranom tržištu novca i kapitala</w:t>
      </w:r>
    </w:p>
    <w:p w14:paraId="20B3EB58" w14:textId="77777777" w:rsidR="005000BD" w:rsidRPr="00E739FB" w:rsidRDefault="005000BD" w:rsidP="005000BD">
      <w:pPr>
        <w:jc w:val="both"/>
        <w:rPr>
          <w:b/>
        </w:rPr>
      </w:pPr>
    </w:p>
    <w:p w14:paraId="22F115F7" w14:textId="4CB48687" w:rsidR="005000BD" w:rsidRPr="00E739FB" w:rsidRDefault="005000BD" w:rsidP="005000BD">
      <w:pPr>
        <w:jc w:val="both"/>
        <w:rPr>
          <w:bCs/>
        </w:rPr>
      </w:pPr>
      <w:r w:rsidRPr="00E739FB">
        <w:rPr>
          <w:bCs/>
        </w:rPr>
        <w:t>Javna ustanova</w:t>
      </w:r>
      <w:r w:rsidR="00A664C7" w:rsidRPr="00E739FB">
        <w:rPr>
          <w:bCs/>
        </w:rPr>
        <w:t xml:space="preserve"> Park prirode Medvednica</w:t>
      </w:r>
      <w:r w:rsidR="000F74C6" w:rsidRPr="00E739FB">
        <w:rPr>
          <w:bCs/>
        </w:rPr>
        <w:t xml:space="preserve"> </w:t>
      </w:r>
      <w:r w:rsidR="000E58BE" w:rsidRPr="00E739FB">
        <w:rPr>
          <w:bCs/>
        </w:rPr>
        <w:t>nema zaduženja</w:t>
      </w:r>
      <w:r w:rsidRPr="00E739FB">
        <w:rPr>
          <w:bCs/>
        </w:rPr>
        <w:t xml:space="preserve"> na domaćem i stranom tržištu novca i kapitala</w:t>
      </w:r>
      <w:r w:rsidR="00C10464" w:rsidRPr="00E739FB">
        <w:rPr>
          <w:bCs/>
        </w:rPr>
        <w:t>.</w:t>
      </w:r>
    </w:p>
    <w:p w14:paraId="19E2AAF9" w14:textId="77777777" w:rsidR="005000BD" w:rsidRPr="00E739FB" w:rsidRDefault="005000BD" w:rsidP="005000BD">
      <w:pPr>
        <w:jc w:val="both"/>
        <w:rPr>
          <w:b/>
        </w:rPr>
      </w:pPr>
    </w:p>
    <w:p w14:paraId="7720F7B8" w14:textId="77777777" w:rsidR="00CD26E9" w:rsidRPr="00E739FB" w:rsidRDefault="00CD26E9" w:rsidP="005000BD">
      <w:pPr>
        <w:jc w:val="both"/>
        <w:rPr>
          <w:b/>
        </w:rPr>
      </w:pPr>
    </w:p>
    <w:p w14:paraId="09D22A1E" w14:textId="1F687FA3" w:rsidR="005000BD" w:rsidRPr="00E9434B" w:rsidRDefault="005000BD" w:rsidP="00771B92">
      <w:pPr>
        <w:pStyle w:val="ListParagraph"/>
        <w:numPr>
          <w:ilvl w:val="1"/>
          <w:numId w:val="5"/>
        </w:numPr>
        <w:jc w:val="both"/>
        <w:rPr>
          <w:b/>
        </w:rPr>
      </w:pPr>
      <w:r w:rsidRPr="00E9434B">
        <w:rPr>
          <w:b/>
        </w:rPr>
        <w:t>Izvještaj o korištenju sredstava fondova Europske unije</w:t>
      </w:r>
    </w:p>
    <w:p w14:paraId="5FBD3D5C" w14:textId="77777777" w:rsidR="005000BD" w:rsidRPr="00E739FB" w:rsidRDefault="005000BD" w:rsidP="005000BD">
      <w:pPr>
        <w:jc w:val="both"/>
        <w:rPr>
          <w:b/>
        </w:rPr>
      </w:pPr>
    </w:p>
    <w:p w14:paraId="739B3748" w14:textId="087F94EC" w:rsidR="00C33F73" w:rsidRPr="00C33F73" w:rsidRDefault="000842DE" w:rsidP="000842DE">
      <w:pPr>
        <w:jc w:val="both"/>
        <w:rPr>
          <w:bCs/>
        </w:rPr>
      </w:pPr>
      <w:r>
        <w:rPr>
          <w:bCs/>
        </w:rPr>
        <w:t>Temeljem ugovora</w:t>
      </w:r>
      <w:r w:rsidR="00CB3899">
        <w:rPr>
          <w:bCs/>
        </w:rPr>
        <w:t xml:space="preserve"> o</w:t>
      </w:r>
      <w:r>
        <w:rPr>
          <w:bCs/>
        </w:rPr>
        <w:t xml:space="preserve"> </w:t>
      </w:r>
      <w:r w:rsidR="00CB3899" w:rsidRPr="00CB3899">
        <w:rPr>
          <w:bCs/>
        </w:rPr>
        <w:t>dodjeli bespovratnih sredstava</w:t>
      </w:r>
      <w:r w:rsidR="00CB3899">
        <w:rPr>
          <w:bCs/>
        </w:rPr>
        <w:t xml:space="preserve"> </w:t>
      </w:r>
      <w:r w:rsidR="00CB3899" w:rsidRPr="00CB3899">
        <w:rPr>
          <w:bCs/>
        </w:rPr>
        <w:t>KK.06.1.2.01.0012</w:t>
      </w:r>
      <w:r>
        <w:rPr>
          <w:bCs/>
        </w:rPr>
        <w:t xml:space="preserve"> z</w:t>
      </w:r>
      <w:r w:rsidR="00C33F73">
        <w:rPr>
          <w:bCs/>
        </w:rPr>
        <w:t>a projekt „</w:t>
      </w:r>
      <w:r w:rsidR="00C33F73" w:rsidRPr="00C33F73">
        <w:rPr>
          <w:bCs/>
        </w:rPr>
        <w:t xml:space="preserve">Poboljšanje </w:t>
      </w:r>
      <w:proofErr w:type="spellStart"/>
      <w:r w:rsidR="00C33F73" w:rsidRPr="00C33F73">
        <w:rPr>
          <w:bCs/>
        </w:rPr>
        <w:t>posjetiteljskog</w:t>
      </w:r>
      <w:proofErr w:type="spellEnd"/>
      <w:r w:rsidR="00C33F73" w:rsidRPr="00C33F73">
        <w:rPr>
          <w:bCs/>
        </w:rPr>
        <w:t xml:space="preserve"> kapaciteta u svrhu održivog upravljanja Parkom prirode Medvednica</w:t>
      </w:r>
      <w:r w:rsidR="00C33F73">
        <w:rPr>
          <w:bCs/>
        </w:rPr>
        <w:t xml:space="preserve">“ </w:t>
      </w:r>
      <w:r>
        <w:rPr>
          <w:bCs/>
        </w:rPr>
        <w:t xml:space="preserve">određeno je </w:t>
      </w:r>
      <w:r w:rsidR="00CB3899">
        <w:rPr>
          <w:bCs/>
        </w:rPr>
        <w:t>r</w:t>
      </w:r>
      <w:r w:rsidRPr="000842DE">
        <w:rPr>
          <w:bCs/>
        </w:rPr>
        <w:t>azdoblje provedbe Projekta od 1. ožujka 2015. godine do završetka obavljanja predmetnih aktivnosti odnosno do 30. listopada 2021. godine.</w:t>
      </w:r>
      <w:r w:rsidR="00CB3899">
        <w:rPr>
          <w:bCs/>
        </w:rPr>
        <w:t xml:space="preserve"> </w:t>
      </w:r>
      <w:r w:rsidRPr="000842DE">
        <w:rPr>
          <w:bCs/>
        </w:rPr>
        <w:t>Razdoblje financiranja Projekta, odnosno razdoblje unutar kojeg se mogu izvršavati financijske transakcije vezane uz izvršenje Ugovora uključujući plaćanja po nastalim izdacima završ</w:t>
      </w:r>
      <w:r w:rsidR="00DE1007">
        <w:rPr>
          <w:bCs/>
        </w:rPr>
        <w:t>eno je dana</w:t>
      </w:r>
      <w:r w:rsidRPr="000842DE">
        <w:rPr>
          <w:bCs/>
        </w:rPr>
        <w:t xml:space="preserve"> 30. travnja 2023. godine.</w:t>
      </w:r>
      <w:r w:rsidR="00C33F73">
        <w:rPr>
          <w:bCs/>
        </w:rPr>
        <w:t xml:space="preserve"> </w:t>
      </w:r>
      <w:r w:rsidR="00D12ACB">
        <w:rPr>
          <w:bCs/>
        </w:rPr>
        <w:t xml:space="preserve">U 2024. godini usvojen je prigovor Ustanove na Odluku IRR04 </w:t>
      </w:r>
      <w:r w:rsidR="00A54FDF">
        <w:rPr>
          <w:rFonts w:asciiTheme="minorHAnsi" w:hAnsiTheme="minorHAnsi" w:cstheme="minorHAnsi"/>
          <w:color w:val="404040"/>
        </w:rPr>
        <w:t xml:space="preserve">od 14. siječnja 2021. godine, te je u 2024. godini uplaćen iznos od </w:t>
      </w:r>
      <w:r w:rsidR="00A54FDF" w:rsidRPr="00E739FB">
        <w:rPr>
          <w:bCs/>
        </w:rPr>
        <w:t>6.923,10 eura</w:t>
      </w:r>
      <w:r w:rsidR="00A54FDF">
        <w:rPr>
          <w:bCs/>
        </w:rPr>
        <w:t xml:space="preserve"> koji je </w:t>
      </w:r>
      <w:r w:rsidR="00A30738">
        <w:rPr>
          <w:bCs/>
        </w:rPr>
        <w:t>odmah po uplati vraćen u Državni proračun radi izbjegavanja dvostruko</w:t>
      </w:r>
      <w:r w:rsidR="00BD273F">
        <w:rPr>
          <w:bCs/>
        </w:rPr>
        <w:t>g financiranja</w:t>
      </w:r>
      <w:r w:rsidR="00A30738">
        <w:rPr>
          <w:bCs/>
        </w:rPr>
        <w:t>.</w:t>
      </w:r>
    </w:p>
    <w:p w14:paraId="7D68E414" w14:textId="77777777" w:rsidR="00797840" w:rsidRPr="00E739FB" w:rsidRDefault="00797840" w:rsidP="005000BD">
      <w:pPr>
        <w:jc w:val="both"/>
        <w:rPr>
          <w:b/>
        </w:rPr>
      </w:pPr>
    </w:p>
    <w:p w14:paraId="250C2901" w14:textId="77777777" w:rsidR="00CD26E9" w:rsidRPr="00E739FB" w:rsidRDefault="00CD26E9" w:rsidP="005000BD">
      <w:pPr>
        <w:jc w:val="both"/>
        <w:rPr>
          <w:b/>
        </w:rPr>
      </w:pPr>
    </w:p>
    <w:p w14:paraId="0A32AEFA" w14:textId="17D41C0D" w:rsidR="005000BD" w:rsidRPr="00E739FB" w:rsidRDefault="005000BD" w:rsidP="00771B92">
      <w:pPr>
        <w:pStyle w:val="ListParagraph"/>
        <w:numPr>
          <w:ilvl w:val="1"/>
          <w:numId w:val="5"/>
        </w:numPr>
        <w:jc w:val="both"/>
        <w:rPr>
          <w:b/>
        </w:rPr>
      </w:pPr>
      <w:r w:rsidRPr="00E739FB">
        <w:rPr>
          <w:b/>
        </w:rPr>
        <w:t>Izvještaj o danim zajmov</w:t>
      </w:r>
      <w:r w:rsidR="00AE2142" w:rsidRPr="00E739FB">
        <w:rPr>
          <w:b/>
        </w:rPr>
        <w:t>ima</w:t>
      </w:r>
      <w:r w:rsidRPr="00E739FB">
        <w:rPr>
          <w:b/>
        </w:rPr>
        <w:t xml:space="preserve"> i potraživanjima po danim zajmova</w:t>
      </w:r>
    </w:p>
    <w:p w14:paraId="75BA5FA7" w14:textId="77777777" w:rsidR="005000BD" w:rsidRPr="00E739FB" w:rsidRDefault="005000BD" w:rsidP="005000BD">
      <w:pPr>
        <w:jc w:val="both"/>
        <w:rPr>
          <w:b/>
        </w:rPr>
      </w:pPr>
    </w:p>
    <w:p w14:paraId="6773B8EE" w14:textId="7AF09AEC" w:rsidR="005000BD" w:rsidRPr="00E739FB" w:rsidRDefault="005000BD" w:rsidP="005000BD">
      <w:pPr>
        <w:jc w:val="both"/>
        <w:rPr>
          <w:bCs/>
        </w:rPr>
      </w:pPr>
      <w:r w:rsidRPr="00E739FB">
        <w:rPr>
          <w:bCs/>
        </w:rPr>
        <w:t>Javna ustanova</w:t>
      </w:r>
      <w:r w:rsidR="00A664C7" w:rsidRPr="00E739FB">
        <w:rPr>
          <w:bCs/>
        </w:rPr>
        <w:t xml:space="preserve"> Park prirode Medvednica</w:t>
      </w:r>
      <w:r w:rsidRPr="00E739FB">
        <w:rPr>
          <w:bCs/>
        </w:rPr>
        <w:t xml:space="preserve"> u 202</w:t>
      </w:r>
      <w:r w:rsidR="00950339" w:rsidRPr="00E739FB">
        <w:rPr>
          <w:bCs/>
        </w:rPr>
        <w:t>4</w:t>
      </w:r>
      <w:r w:rsidRPr="00E739FB">
        <w:rPr>
          <w:bCs/>
        </w:rPr>
        <w:t>. godini nije dala zajmove niti ima potraživanja po danim zajmovima.</w:t>
      </w:r>
    </w:p>
    <w:p w14:paraId="749548A4" w14:textId="77777777" w:rsidR="005000BD" w:rsidRPr="00E739FB" w:rsidRDefault="005000BD" w:rsidP="005000BD">
      <w:pPr>
        <w:jc w:val="both"/>
        <w:rPr>
          <w:b/>
        </w:rPr>
      </w:pPr>
    </w:p>
    <w:p w14:paraId="029684F9" w14:textId="77777777" w:rsidR="00CD26E9" w:rsidRPr="00E739FB" w:rsidRDefault="00CD26E9" w:rsidP="005000BD">
      <w:pPr>
        <w:jc w:val="both"/>
        <w:rPr>
          <w:b/>
        </w:rPr>
      </w:pPr>
    </w:p>
    <w:p w14:paraId="5A4D7661" w14:textId="73F6036D" w:rsidR="005000BD" w:rsidRPr="00E739FB" w:rsidRDefault="005000BD" w:rsidP="00771B92">
      <w:pPr>
        <w:pStyle w:val="ListParagraph"/>
        <w:numPr>
          <w:ilvl w:val="1"/>
          <w:numId w:val="5"/>
        </w:numPr>
        <w:jc w:val="both"/>
        <w:rPr>
          <w:b/>
        </w:rPr>
      </w:pPr>
      <w:r w:rsidRPr="00E739FB">
        <w:rPr>
          <w:b/>
        </w:rPr>
        <w:t>Izvještaj o stanju potraživanja i dospjelih obveza te o stanju potencijalnih obveza po osnovi sudskih sporova</w:t>
      </w:r>
    </w:p>
    <w:p w14:paraId="353A37EB" w14:textId="77777777" w:rsidR="00450836" w:rsidRPr="00E739FB" w:rsidRDefault="00450836" w:rsidP="00450836">
      <w:pPr>
        <w:jc w:val="both"/>
        <w:rPr>
          <w:b/>
        </w:rPr>
      </w:pPr>
    </w:p>
    <w:p w14:paraId="24E116D0" w14:textId="77777777" w:rsidR="006E5DC6" w:rsidRPr="00E739FB" w:rsidRDefault="006E5DC6" w:rsidP="00450836">
      <w:pPr>
        <w:jc w:val="both"/>
        <w:rPr>
          <w:bCs/>
        </w:rPr>
      </w:pPr>
    </w:p>
    <w:p w14:paraId="671728CA" w14:textId="0EEAA0EC" w:rsidR="006E5DC6" w:rsidRPr="00E739FB" w:rsidRDefault="006E5DC6" w:rsidP="00450836">
      <w:pPr>
        <w:jc w:val="both"/>
        <w:rPr>
          <w:bCs/>
        </w:rPr>
      </w:pPr>
      <w:r w:rsidRPr="00E739FB">
        <w:rPr>
          <w:bCs/>
        </w:rPr>
        <w:t xml:space="preserve">Tablica </w:t>
      </w:r>
      <w:r w:rsidR="00CD26E9" w:rsidRPr="00E739FB">
        <w:rPr>
          <w:bCs/>
        </w:rPr>
        <w:t>2</w:t>
      </w:r>
      <w:r w:rsidRPr="00E739FB">
        <w:rPr>
          <w:bCs/>
        </w:rPr>
        <w:t>. Izvještaj o stanju potraživanja i dospjelih obveza te o stanju potencijalnih obveza po osnovi sudskih sporova</w:t>
      </w:r>
    </w:p>
    <w:p w14:paraId="47096E16" w14:textId="77777777" w:rsidR="006E5DC6" w:rsidRPr="00E739FB" w:rsidRDefault="006E5DC6" w:rsidP="00450836">
      <w:pPr>
        <w:jc w:val="both"/>
        <w:rPr>
          <w:b/>
        </w:rPr>
      </w:pPr>
    </w:p>
    <w:tbl>
      <w:tblPr>
        <w:tblW w:w="7540" w:type="dxa"/>
        <w:tblLook w:val="04A0" w:firstRow="1" w:lastRow="0" w:firstColumn="1" w:lastColumn="0" w:noHBand="0" w:noVBand="1"/>
      </w:tblPr>
      <w:tblGrid>
        <w:gridCol w:w="4940"/>
        <w:gridCol w:w="2600"/>
      </w:tblGrid>
      <w:tr w:rsidR="003B09E8" w:rsidRPr="00E739FB" w14:paraId="1245D079" w14:textId="77777777" w:rsidTr="009B23A7">
        <w:trPr>
          <w:trHeight w:val="528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57550F" w14:textId="77777777" w:rsidR="006E5DC6" w:rsidRPr="00E739FB" w:rsidRDefault="006E5DC6">
            <w:pPr>
              <w:jc w:val="center"/>
            </w:pPr>
            <w:r w:rsidRPr="00E739FB">
              <w:t>IZVJEŠTAJ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96712B7" w14:textId="3853BA20" w:rsidR="006E5DC6" w:rsidRPr="00E739FB" w:rsidRDefault="006E5DC6">
            <w:pPr>
              <w:jc w:val="center"/>
            </w:pPr>
            <w:r w:rsidRPr="00E739FB">
              <w:t>STANJE NA DAN 31.12.202</w:t>
            </w:r>
            <w:r w:rsidR="00950339" w:rsidRPr="00E739FB">
              <w:t>4</w:t>
            </w:r>
            <w:r w:rsidRPr="00E739FB">
              <w:t>. GODINE</w:t>
            </w:r>
          </w:p>
        </w:tc>
      </w:tr>
      <w:tr w:rsidR="003B09E8" w:rsidRPr="00E739FB" w14:paraId="36AA8090" w14:textId="77777777" w:rsidTr="006E5DC6">
        <w:trPr>
          <w:trHeight w:val="288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0E62" w14:textId="56D054E6" w:rsidR="006E5DC6" w:rsidRPr="00E739FB" w:rsidRDefault="006E5DC6">
            <w:r w:rsidRPr="00E739FB">
              <w:t>Nenaplaćena potraživanja za prihode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8EBC" w14:textId="20A2D7CB" w:rsidR="006E5DC6" w:rsidRPr="00E739FB" w:rsidRDefault="00F230F5">
            <w:pPr>
              <w:jc w:val="right"/>
            </w:pPr>
            <w:r w:rsidRPr="00E739FB">
              <w:t>2.</w:t>
            </w:r>
            <w:r w:rsidR="00123E90" w:rsidRPr="00E739FB">
              <w:t>689,71</w:t>
            </w:r>
            <w:r w:rsidR="00724DA9">
              <w:t xml:space="preserve"> EUR</w:t>
            </w:r>
          </w:p>
        </w:tc>
      </w:tr>
      <w:tr w:rsidR="003B09E8" w:rsidRPr="00E739FB" w14:paraId="48A355AA" w14:textId="77777777" w:rsidTr="006E5DC6">
        <w:trPr>
          <w:trHeight w:val="288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EBFB" w14:textId="77777777" w:rsidR="006E5DC6" w:rsidRPr="00E739FB" w:rsidRDefault="006E5DC6">
            <w:r w:rsidRPr="00E739FB">
              <w:t>Nepodmirene dospjele obveze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C397" w14:textId="0C3CB6F5" w:rsidR="006E5DC6" w:rsidRPr="00E739FB" w:rsidRDefault="00950339">
            <w:pPr>
              <w:jc w:val="right"/>
            </w:pPr>
            <w:r w:rsidRPr="00E739FB">
              <w:t>199,08</w:t>
            </w:r>
            <w:r w:rsidR="00724DA9">
              <w:t xml:space="preserve"> EUR</w:t>
            </w:r>
          </w:p>
        </w:tc>
      </w:tr>
      <w:tr w:rsidR="003B09E8" w:rsidRPr="00E739FB" w14:paraId="35B37ED3" w14:textId="77777777" w:rsidTr="006E5DC6">
        <w:trPr>
          <w:trHeight w:val="288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447B" w14:textId="77777777" w:rsidR="006E5DC6" w:rsidRPr="00E739FB" w:rsidRDefault="006E5DC6">
            <w:r w:rsidRPr="00E739FB">
              <w:t>Potencijalne obveze po osnovi sudskih sporova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07D6" w14:textId="6D76420E" w:rsidR="006E5DC6" w:rsidRPr="00E739FB" w:rsidRDefault="006E5DC6">
            <w:pPr>
              <w:jc w:val="right"/>
            </w:pPr>
            <w:r w:rsidRPr="00E739FB">
              <w:t>0,00</w:t>
            </w:r>
            <w:r w:rsidR="00724DA9">
              <w:t xml:space="preserve"> EUR</w:t>
            </w:r>
          </w:p>
        </w:tc>
      </w:tr>
    </w:tbl>
    <w:p w14:paraId="480E6FC8" w14:textId="77777777" w:rsidR="006E5DC6" w:rsidRPr="00E739FB" w:rsidRDefault="006E5DC6" w:rsidP="00450836">
      <w:pPr>
        <w:jc w:val="both"/>
        <w:rPr>
          <w:b/>
        </w:rPr>
      </w:pPr>
    </w:p>
    <w:p w14:paraId="69DBDD3C" w14:textId="77777777" w:rsidR="00A345EC" w:rsidRPr="00E739FB" w:rsidRDefault="00A345EC" w:rsidP="00450836">
      <w:pPr>
        <w:jc w:val="both"/>
        <w:rPr>
          <w:b/>
        </w:rPr>
      </w:pPr>
    </w:p>
    <w:p w14:paraId="39775D58" w14:textId="0ABBB953" w:rsidR="000F74C6" w:rsidRPr="00E739FB" w:rsidRDefault="000F74C6" w:rsidP="000F74C6">
      <w:pPr>
        <w:jc w:val="both"/>
        <w:rPr>
          <w:rStyle w:val="A14"/>
          <w:rFonts w:eastAsiaTheme="minorHAnsi" w:cs="Times New Roman"/>
          <w:bCs/>
          <w:color w:val="auto"/>
          <w:sz w:val="24"/>
          <w:szCs w:val="24"/>
        </w:rPr>
      </w:pPr>
      <w:r w:rsidRPr="00E739FB">
        <w:rPr>
          <w:bCs/>
        </w:rPr>
        <w:t>Na dan 31. prosinca 202</w:t>
      </w:r>
      <w:r w:rsidR="00950339" w:rsidRPr="00E739FB">
        <w:rPr>
          <w:bCs/>
        </w:rPr>
        <w:t>4</w:t>
      </w:r>
      <w:r w:rsidRPr="00E739FB">
        <w:rPr>
          <w:bCs/>
        </w:rPr>
        <w:t xml:space="preserve">. godine nisu podmirene dospjele obveze za materijalne rashode u iznosu od </w:t>
      </w:r>
      <w:r w:rsidR="00950339" w:rsidRPr="00E739FB">
        <w:rPr>
          <w:bCs/>
        </w:rPr>
        <w:t>199,08</w:t>
      </w:r>
      <w:r w:rsidRPr="00E739FB">
        <w:rPr>
          <w:bCs/>
        </w:rPr>
        <w:t xml:space="preserve"> eura </w:t>
      </w:r>
      <w:r w:rsidRPr="00E739FB">
        <w:rPr>
          <w:rStyle w:val="A14"/>
          <w:rFonts w:eastAsiaTheme="minorHAnsi" w:cs="Times New Roman"/>
          <w:bCs/>
          <w:color w:val="auto"/>
          <w:sz w:val="24"/>
          <w:szCs w:val="24"/>
        </w:rPr>
        <w:t>jer je račun</w:t>
      </w:r>
      <w:r w:rsidR="00AE2142" w:rsidRPr="00E739FB">
        <w:rPr>
          <w:rStyle w:val="A14"/>
          <w:rFonts w:eastAsiaTheme="minorHAnsi" w:cs="Times New Roman"/>
          <w:bCs/>
          <w:color w:val="auto"/>
          <w:sz w:val="24"/>
          <w:szCs w:val="24"/>
        </w:rPr>
        <w:t xml:space="preserve"> za usluge interneta</w:t>
      </w:r>
      <w:r w:rsidRPr="00E739FB">
        <w:rPr>
          <w:rStyle w:val="A14"/>
          <w:rFonts w:eastAsiaTheme="minorHAnsi" w:cs="Times New Roman"/>
          <w:bCs/>
          <w:color w:val="auto"/>
          <w:sz w:val="24"/>
          <w:szCs w:val="24"/>
        </w:rPr>
        <w:t xml:space="preserve"> s dospijećem </w:t>
      </w:r>
      <w:r w:rsidR="00950339" w:rsidRPr="00E739FB">
        <w:rPr>
          <w:rStyle w:val="A14"/>
          <w:rFonts w:eastAsiaTheme="minorHAnsi" w:cs="Times New Roman"/>
          <w:bCs/>
          <w:color w:val="auto"/>
          <w:sz w:val="24"/>
          <w:szCs w:val="24"/>
        </w:rPr>
        <w:t>15</w:t>
      </w:r>
      <w:r w:rsidRPr="00E739FB">
        <w:rPr>
          <w:rStyle w:val="A14"/>
          <w:rFonts w:eastAsiaTheme="minorHAnsi" w:cs="Times New Roman"/>
          <w:bCs/>
          <w:color w:val="auto"/>
          <w:sz w:val="24"/>
          <w:szCs w:val="24"/>
        </w:rPr>
        <w:t>. prosinca 202</w:t>
      </w:r>
      <w:r w:rsidR="00950339" w:rsidRPr="00E739FB">
        <w:rPr>
          <w:rStyle w:val="A14"/>
          <w:rFonts w:eastAsiaTheme="minorHAnsi" w:cs="Times New Roman"/>
          <w:bCs/>
          <w:color w:val="auto"/>
          <w:sz w:val="24"/>
          <w:szCs w:val="24"/>
        </w:rPr>
        <w:t>4</w:t>
      </w:r>
      <w:r w:rsidRPr="00E739FB">
        <w:rPr>
          <w:rStyle w:val="A14"/>
          <w:rFonts w:eastAsiaTheme="minorHAnsi" w:cs="Times New Roman"/>
          <w:bCs/>
          <w:color w:val="auto"/>
          <w:sz w:val="24"/>
          <w:szCs w:val="24"/>
        </w:rPr>
        <w:t>. godi</w:t>
      </w:r>
      <w:r w:rsidR="00AE2142" w:rsidRPr="00E739FB">
        <w:rPr>
          <w:rStyle w:val="A14"/>
          <w:rFonts w:eastAsiaTheme="minorHAnsi" w:cs="Times New Roman"/>
          <w:bCs/>
          <w:color w:val="auto"/>
          <w:sz w:val="24"/>
          <w:szCs w:val="24"/>
        </w:rPr>
        <w:t xml:space="preserve">ne </w:t>
      </w:r>
      <w:r w:rsidR="00E978F0" w:rsidRPr="00E739FB">
        <w:rPr>
          <w:rStyle w:val="A14"/>
          <w:rFonts w:eastAsiaTheme="minorHAnsi" w:cs="Times New Roman"/>
          <w:bCs/>
          <w:color w:val="auto"/>
          <w:sz w:val="24"/>
          <w:szCs w:val="24"/>
        </w:rPr>
        <w:t>zaprimljen 8. siječnja 2025. godine putem Fina e-računa za državu.</w:t>
      </w:r>
    </w:p>
    <w:p w14:paraId="4ADB1229" w14:textId="77893976" w:rsidR="000F74C6" w:rsidRPr="00E739FB" w:rsidRDefault="000F74C6" w:rsidP="00450836">
      <w:pPr>
        <w:jc w:val="both"/>
        <w:rPr>
          <w:bCs/>
        </w:rPr>
      </w:pPr>
    </w:p>
    <w:p w14:paraId="673DDA44" w14:textId="6D99D823" w:rsidR="000E58BE" w:rsidRPr="00E739FB" w:rsidRDefault="000E58BE" w:rsidP="00E36084">
      <w:pPr>
        <w:rPr>
          <w:bCs/>
        </w:rPr>
      </w:pPr>
      <w:r w:rsidRPr="00E739FB">
        <w:rPr>
          <w:bCs/>
        </w:rPr>
        <w:t>Javna ustanova</w:t>
      </w:r>
      <w:r w:rsidR="00A664C7" w:rsidRPr="00E739FB">
        <w:rPr>
          <w:bCs/>
        </w:rPr>
        <w:t xml:space="preserve"> Park prirode Medvednica</w:t>
      </w:r>
      <w:r w:rsidRPr="00E739FB">
        <w:rPr>
          <w:bCs/>
        </w:rPr>
        <w:t xml:space="preserve"> nema sudskih sporova u tijeku te nema nikakvog financijskog učinka koji može proisteći iz sudskog spora kao obveza ili imovina. </w:t>
      </w:r>
    </w:p>
    <w:p w14:paraId="345F527C" w14:textId="77777777" w:rsidR="005000BD" w:rsidRPr="00E739FB" w:rsidRDefault="005000BD" w:rsidP="00E36084"/>
    <w:p w14:paraId="6B888060" w14:textId="77777777" w:rsidR="00CD26E9" w:rsidRPr="00E739FB" w:rsidRDefault="00CD26E9" w:rsidP="00E36084"/>
    <w:p w14:paraId="4B7797D6" w14:textId="0438A8A2" w:rsidR="005000BD" w:rsidRPr="00E739FB" w:rsidRDefault="005000BD" w:rsidP="00771B92">
      <w:pPr>
        <w:pStyle w:val="ListParagraph"/>
        <w:numPr>
          <w:ilvl w:val="1"/>
          <w:numId w:val="5"/>
        </w:numPr>
        <w:rPr>
          <w:b/>
          <w:bCs/>
        </w:rPr>
      </w:pPr>
      <w:r w:rsidRPr="00E739FB">
        <w:rPr>
          <w:b/>
          <w:bCs/>
        </w:rPr>
        <w:t>Izvještaj o danim jamstvima i plaćanjima po protestiranim jamstvima</w:t>
      </w:r>
    </w:p>
    <w:p w14:paraId="2AC4991C" w14:textId="77777777" w:rsidR="005000BD" w:rsidRPr="00E739FB" w:rsidRDefault="005000BD" w:rsidP="00E36084"/>
    <w:p w14:paraId="56F631AB" w14:textId="5D2BF7E3" w:rsidR="005000BD" w:rsidRPr="00E739FB" w:rsidRDefault="005000BD" w:rsidP="00E36084">
      <w:r w:rsidRPr="00E739FB">
        <w:lastRenderedPageBreak/>
        <w:t>Javna ustanova</w:t>
      </w:r>
      <w:r w:rsidR="00A664C7" w:rsidRPr="00E739FB">
        <w:t xml:space="preserve"> Park prirode Medvednica</w:t>
      </w:r>
      <w:r w:rsidRPr="00E739FB">
        <w:t xml:space="preserve"> </w:t>
      </w:r>
      <w:r w:rsidR="00C10464" w:rsidRPr="00E739FB">
        <w:t>nije izdala jamstva niti se vršilo plaćanje po protestiranim jamstvima u 202</w:t>
      </w:r>
      <w:r w:rsidR="00950339" w:rsidRPr="00E739FB">
        <w:t>4</w:t>
      </w:r>
      <w:r w:rsidR="00C10464" w:rsidRPr="00E739FB">
        <w:t>. godini.</w:t>
      </w:r>
    </w:p>
    <w:p w14:paraId="21E5D2D6" w14:textId="77777777" w:rsidR="003F4511" w:rsidRPr="00E739FB" w:rsidRDefault="003F4511" w:rsidP="005F1725"/>
    <w:p w14:paraId="2C3C2069" w14:textId="77777777" w:rsidR="002B1DEE" w:rsidRPr="00E739FB" w:rsidRDefault="002B1DEE" w:rsidP="005F1725"/>
    <w:p w14:paraId="157C0A41" w14:textId="5D908257" w:rsidR="00DC3A83" w:rsidRPr="002D3C0C" w:rsidRDefault="00DC3A83" w:rsidP="005F1725">
      <w:r w:rsidRPr="002D3C0C">
        <w:t>KLASA</w:t>
      </w:r>
      <w:r w:rsidR="00E978F0" w:rsidRPr="002D3C0C">
        <w:t>:</w:t>
      </w:r>
      <w:r w:rsidR="002D3C0C" w:rsidRPr="002D3C0C">
        <w:t xml:space="preserve"> 400-01/25-01/04</w:t>
      </w:r>
    </w:p>
    <w:p w14:paraId="376FAED4" w14:textId="73F3E128" w:rsidR="00DC3A83" w:rsidRPr="00E739FB" w:rsidRDefault="00DC3A83" w:rsidP="005F1725">
      <w:r w:rsidRPr="002D3C0C">
        <w:t>URBROJ:</w:t>
      </w:r>
      <w:r w:rsidR="002D3C0C" w:rsidRPr="002D3C0C">
        <w:t xml:space="preserve"> 251-510-04-25-</w:t>
      </w:r>
      <w:r w:rsidR="00EF1F77">
        <w:t>3</w:t>
      </w:r>
    </w:p>
    <w:p w14:paraId="30F691AE" w14:textId="77777777" w:rsidR="00DC3A83" w:rsidRPr="00E739FB" w:rsidRDefault="00DC3A83" w:rsidP="005F1725"/>
    <w:p w14:paraId="30F25CF2" w14:textId="6BB21DC3" w:rsidR="002B1DEE" w:rsidRPr="00E739FB" w:rsidRDefault="002B1DEE" w:rsidP="005F1725">
      <w:r w:rsidRPr="00E739FB">
        <w:t xml:space="preserve">U </w:t>
      </w:r>
      <w:r w:rsidRPr="00BD273F">
        <w:t xml:space="preserve">Zagrebu, </w:t>
      </w:r>
      <w:r w:rsidR="00BD273F" w:rsidRPr="00BD273F">
        <w:t>27</w:t>
      </w:r>
      <w:r w:rsidRPr="00BD273F">
        <w:t>.</w:t>
      </w:r>
      <w:r w:rsidR="007D3A40" w:rsidRPr="00BD273F">
        <w:t xml:space="preserve"> </w:t>
      </w:r>
      <w:r w:rsidR="00372B8F" w:rsidRPr="00BD273F">
        <w:t>ožujka</w:t>
      </w:r>
      <w:r w:rsidR="007D3A40" w:rsidRPr="00BD273F">
        <w:t xml:space="preserve"> </w:t>
      </w:r>
      <w:r w:rsidRPr="00BD273F">
        <w:t>202</w:t>
      </w:r>
      <w:r w:rsidR="00E978F0" w:rsidRPr="00BD273F">
        <w:t>5</w:t>
      </w:r>
      <w:r w:rsidRPr="00BD273F">
        <w:t>.</w:t>
      </w:r>
      <w:r w:rsidR="00BB6205" w:rsidRPr="00BD273F">
        <w:t xml:space="preserve"> godine</w:t>
      </w:r>
    </w:p>
    <w:p w14:paraId="00750B15" w14:textId="49FDB77D" w:rsidR="00DC3A83" w:rsidRPr="00E739FB" w:rsidRDefault="00DC3A83" w:rsidP="005F1725">
      <w:r w:rsidRPr="00E739FB">
        <w:t xml:space="preserve"> </w:t>
      </w:r>
    </w:p>
    <w:p w14:paraId="2F983356" w14:textId="03A8669B" w:rsidR="002B1DEE" w:rsidRPr="00E739FB" w:rsidRDefault="002B1DEE" w:rsidP="005F1725"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  <w:t>Ravnateljica</w:t>
      </w:r>
    </w:p>
    <w:p w14:paraId="17D82C1C" w14:textId="77777777" w:rsidR="002B1DEE" w:rsidRPr="00E739FB" w:rsidRDefault="002B1DEE" w:rsidP="005F1725"/>
    <w:p w14:paraId="193DDACE" w14:textId="77777777" w:rsidR="002B1DEE" w:rsidRPr="00E739FB" w:rsidRDefault="002B1DEE" w:rsidP="005F1725"/>
    <w:p w14:paraId="146E337A" w14:textId="7D0C8071" w:rsidR="002B1DEE" w:rsidRPr="00E739FB" w:rsidRDefault="002B1DEE" w:rsidP="005F1725"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  <w:t xml:space="preserve">          dr.sc. Marina Popijač</w:t>
      </w:r>
    </w:p>
    <w:p w14:paraId="0F453BB0" w14:textId="77777777" w:rsidR="002B1DEE" w:rsidRPr="00E739FB" w:rsidRDefault="002B1DEE" w:rsidP="005F1725"/>
    <w:sectPr w:rsidR="002B1DEE" w:rsidRPr="00E739FB" w:rsidSect="00FB5BC2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DD3D" w14:textId="77777777" w:rsidR="00FF5ACE" w:rsidRDefault="00FF5ACE" w:rsidP="002B2FC8">
      <w:r>
        <w:separator/>
      </w:r>
    </w:p>
  </w:endnote>
  <w:endnote w:type="continuationSeparator" w:id="0">
    <w:p w14:paraId="49A7A707" w14:textId="77777777" w:rsidR="00FF5ACE" w:rsidRDefault="00FF5ACE" w:rsidP="002B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yponineSans Pro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gnaPro-CondBook">
    <w:altName w:val="Cambria"/>
    <w:panose1 w:val="00000000000000000000"/>
    <w:charset w:val="00"/>
    <w:family w:val="roman"/>
    <w:notTrueType/>
    <w:pitch w:val="default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TyponineSans Pro Norm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878709"/>
      <w:docPartObj>
        <w:docPartGallery w:val="Page Numbers (Bottom of Page)"/>
        <w:docPartUnique/>
      </w:docPartObj>
    </w:sdtPr>
    <w:sdtContent>
      <w:p w14:paraId="1B2E624F" w14:textId="66C0C4D8" w:rsidR="002B2FC8" w:rsidRDefault="002B2FC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BBD626" w14:textId="77777777" w:rsidR="002B2FC8" w:rsidRDefault="002B2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7F2E" w14:textId="77777777" w:rsidR="00FF5ACE" w:rsidRDefault="00FF5ACE" w:rsidP="002B2FC8">
      <w:r>
        <w:separator/>
      </w:r>
    </w:p>
  </w:footnote>
  <w:footnote w:type="continuationSeparator" w:id="0">
    <w:p w14:paraId="48C9D015" w14:textId="77777777" w:rsidR="00FF5ACE" w:rsidRDefault="00FF5ACE" w:rsidP="002B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D7BAB"/>
    <w:multiLevelType w:val="multilevel"/>
    <w:tmpl w:val="F670C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F257BC"/>
    <w:multiLevelType w:val="multilevel"/>
    <w:tmpl w:val="F670C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213AE6"/>
    <w:multiLevelType w:val="hybridMultilevel"/>
    <w:tmpl w:val="7E60C3AC"/>
    <w:lvl w:ilvl="0" w:tplc="041A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3CC21C81"/>
    <w:multiLevelType w:val="hybridMultilevel"/>
    <w:tmpl w:val="A58202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C250D"/>
    <w:multiLevelType w:val="hybridMultilevel"/>
    <w:tmpl w:val="1C36BF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F482F"/>
    <w:multiLevelType w:val="hybridMultilevel"/>
    <w:tmpl w:val="922C25AE"/>
    <w:lvl w:ilvl="0" w:tplc="559A7986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A19C1"/>
    <w:multiLevelType w:val="multilevel"/>
    <w:tmpl w:val="7194C26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7" w15:restartNumberingAfterBreak="0">
    <w:nsid w:val="53C029E0"/>
    <w:multiLevelType w:val="hybridMultilevel"/>
    <w:tmpl w:val="42761BEE"/>
    <w:lvl w:ilvl="0" w:tplc="041A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55DF06EB"/>
    <w:multiLevelType w:val="hybridMultilevel"/>
    <w:tmpl w:val="0908E2B2"/>
    <w:lvl w:ilvl="0" w:tplc="041A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56CD3DA7"/>
    <w:multiLevelType w:val="hybridMultilevel"/>
    <w:tmpl w:val="218EAE40"/>
    <w:lvl w:ilvl="0" w:tplc="041A000F">
      <w:start w:val="1"/>
      <w:numFmt w:val="decimal"/>
      <w:lvlText w:val="%1."/>
      <w:lvlJc w:val="left"/>
      <w:pPr>
        <w:ind w:left="1065" w:hanging="705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919CF"/>
    <w:multiLevelType w:val="multilevel"/>
    <w:tmpl w:val="B5B0A80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38956B2"/>
    <w:multiLevelType w:val="hybridMultilevel"/>
    <w:tmpl w:val="981A83D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A2F8F"/>
    <w:multiLevelType w:val="hybridMultilevel"/>
    <w:tmpl w:val="9342C70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352D0"/>
    <w:multiLevelType w:val="hybridMultilevel"/>
    <w:tmpl w:val="6AA838C2"/>
    <w:lvl w:ilvl="0" w:tplc="041A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7DB4465C"/>
    <w:multiLevelType w:val="multilevel"/>
    <w:tmpl w:val="B5B0A80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29714511">
    <w:abstractNumId w:val="9"/>
  </w:num>
  <w:num w:numId="2" w16cid:durableId="1618214915">
    <w:abstractNumId w:val="0"/>
  </w:num>
  <w:num w:numId="3" w16cid:durableId="938870722">
    <w:abstractNumId w:val="3"/>
  </w:num>
  <w:num w:numId="4" w16cid:durableId="2127697291">
    <w:abstractNumId w:val="1"/>
  </w:num>
  <w:num w:numId="5" w16cid:durableId="790898632">
    <w:abstractNumId w:val="10"/>
  </w:num>
  <w:num w:numId="6" w16cid:durableId="1051344149">
    <w:abstractNumId w:val="6"/>
  </w:num>
  <w:num w:numId="7" w16cid:durableId="1483964255">
    <w:abstractNumId w:val="4"/>
  </w:num>
  <w:num w:numId="8" w16cid:durableId="120080370">
    <w:abstractNumId w:val="11"/>
  </w:num>
  <w:num w:numId="9" w16cid:durableId="896941921">
    <w:abstractNumId w:val="5"/>
  </w:num>
  <w:num w:numId="10" w16cid:durableId="551424901">
    <w:abstractNumId w:val="13"/>
  </w:num>
  <w:num w:numId="11" w16cid:durableId="1705404094">
    <w:abstractNumId w:val="8"/>
  </w:num>
  <w:num w:numId="12" w16cid:durableId="287519041">
    <w:abstractNumId w:val="7"/>
  </w:num>
  <w:num w:numId="13" w16cid:durableId="730928707">
    <w:abstractNumId w:val="2"/>
  </w:num>
  <w:num w:numId="14" w16cid:durableId="1225290435">
    <w:abstractNumId w:val="12"/>
  </w:num>
  <w:num w:numId="15" w16cid:durableId="631154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DA"/>
    <w:rsid w:val="000077D4"/>
    <w:rsid w:val="00023107"/>
    <w:rsid w:val="00023C4B"/>
    <w:rsid w:val="00032CF4"/>
    <w:rsid w:val="0003374D"/>
    <w:rsid w:val="0003426E"/>
    <w:rsid w:val="00035347"/>
    <w:rsid w:val="00053303"/>
    <w:rsid w:val="000609EB"/>
    <w:rsid w:val="0006222C"/>
    <w:rsid w:val="000842DE"/>
    <w:rsid w:val="00097AF2"/>
    <w:rsid w:val="000B55BA"/>
    <w:rsid w:val="000C4DDD"/>
    <w:rsid w:val="000D4566"/>
    <w:rsid w:val="000D4581"/>
    <w:rsid w:val="000E0668"/>
    <w:rsid w:val="000E5202"/>
    <w:rsid w:val="000E58BE"/>
    <w:rsid w:val="000E66A1"/>
    <w:rsid w:val="000F05A9"/>
    <w:rsid w:val="000F74C6"/>
    <w:rsid w:val="001134F5"/>
    <w:rsid w:val="00123E90"/>
    <w:rsid w:val="00136D7D"/>
    <w:rsid w:val="001564F1"/>
    <w:rsid w:val="00163E14"/>
    <w:rsid w:val="001867F5"/>
    <w:rsid w:val="00196F0E"/>
    <w:rsid w:val="001B1914"/>
    <w:rsid w:val="001B342F"/>
    <w:rsid w:val="001C0136"/>
    <w:rsid w:val="001E2EEC"/>
    <w:rsid w:val="001F3DFC"/>
    <w:rsid w:val="001F7247"/>
    <w:rsid w:val="00203C9A"/>
    <w:rsid w:val="0021240F"/>
    <w:rsid w:val="002305E9"/>
    <w:rsid w:val="00237EAF"/>
    <w:rsid w:val="00237F75"/>
    <w:rsid w:val="002425F4"/>
    <w:rsid w:val="00257F17"/>
    <w:rsid w:val="00270A37"/>
    <w:rsid w:val="00285DC0"/>
    <w:rsid w:val="002952E6"/>
    <w:rsid w:val="00296B10"/>
    <w:rsid w:val="002B1DEE"/>
    <w:rsid w:val="002B2FC8"/>
    <w:rsid w:val="002C3D45"/>
    <w:rsid w:val="002D3C0C"/>
    <w:rsid w:val="002E4A93"/>
    <w:rsid w:val="002F0208"/>
    <w:rsid w:val="002F1328"/>
    <w:rsid w:val="00323421"/>
    <w:rsid w:val="003501E5"/>
    <w:rsid w:val="003515F5"/>
    <w:rsid w:val="00356792"/>
    <w:rsid w:val="00372B8F"/>
    <w:rsid w:val="003754A5"/>
    <w:rsid w:val="003B09E8"/>
    <w:rsid w:val="003C480F"/>
    <w:rsid w:val="003D2CF0"/>
    <w:rsid w:val="003F4511"/>
    <w:rsid w:val="003F4C1C"/>
    <w:rsid w:val="003F7706"/>
    <w:rsid w:val="003F7BCB"/>
    <w:rsid w:val="00421D28"/>
    <w:rsid w:val="00424F90"/>
    <w:rsid w:val="00427A68"/>
    <w:rsid w:val="00433227"/>
    <w:rsid w:val="00450836"/>
    <w:rsid w:val="00467FE6"/>
    <w:rsid w:val="00475BE2"/>
    <w:rsid w:val="00475CBD"/>
    <w:rsid w:val="0048567C"/>
    <w:rsid w:val="004A3D30"/>
    <w:rsid w:val="004B1913"/>
    <w:rsid w:val="004D1CBF"/>
    <w:rsid w:val="004D6C42"/>
    <w:rsid w:val="004E314B"/>
    <w:rsid w:val="005000BD"/>
    <w:rsid w:val="00512303"/>
    <w:rsid w:val="005162B5"/>
    <w:rsid w:val="005215D4"/>
    <w:rsid w:val="00535DE3"/>
    <w:rsid w:val="00536075"/>
    <w:rsid w:val="0054776C"/>
    <w:rsid w:val="00550598"/>
    <w:rsid w:val="005600CB"/>
    <w:rsid w:val="00581FE5"/>
    <w:rsid w:val="00587CFE"/>
    <w:rsid w:val="005C4DBC"/>
    <w:rsid w:val="005F1725"/>
    <w:rsid w:val="005F63AA"/>
    <w:rsid w:val="005F7877"/>
    <w:rsid w:val="00611B36"/>
    <w:rsid w:val="00611CF6"/>
    <w:rsid w:val="00612E02"/>
    <w:rsid w:val="00613796"/>
    <w:rsid w:val="0064436F"/>
    <w:rsid w:val="00650C6F"/>
    <w:rsid w:val="00651D8A"/>
    <w:rsid w:val="0065461E"/>
    <w:rsid w:val="006575A7"/>
    <w:rsid w:val="0067096D"/>
    <w:rsid w:val="00691CC1"/>
    <w:rsid w:val="006A0E63"/>
    <w:rsid w:val="006A2136"/>
    <w:rsid w:val="006A2BB5"/>
    <w:rsid w:val="006A5717"/>
    <w:rsid w:val="006A7ADE"/>
    <w:rsid w:val="006B2F8C"/>
    <w:rsid w:val="006B35A6"/>
    <w:rsid w:val="006C6F58"/>
    <w:rsid w:val="006D16DB"/>
    <w:rsid w:val="006D1720"/>
    <w:rsid w:val="006E5DC6"/>
    <w:rsid w:val="006F3B97"/>
    <w:rsid w:val="00706A35"/>
    <w:rsid w:val="0071495C"/>
    <w:rsid w:val="007217DC"/>
    <w:rsid w:val="00722B8D"/>
    <w:rsid w:val="00724DA9"/>
    <w:rsid w:val="0073069A"/>
    <w:rsid w:val="00735660"/>
    <w:rsid w:val="00753119"/>
    <w:rsid w:val="00771B92"/>
    <w:rsid w:val="00771CF1"/>
    <w:rsid w:val="007751B4"/>
    <w:rsid w:val="0077737F"/>
    <w:rsid w:val="00777B3B"/>
    <w:rsid w:val="00784F4C"/>
    <w:rsid w:val="00785B7C"/>
    <w:rsid w:val="0079762F"/>
    <w:rsid w:val="00797840"/>
    <w:rsid w:val="007B4F41"/>
    <w:rsid w:val="007D3A40"/>
    <w:rsid w:val="00810736"/>
    <w:rsid w:val="00816C9E"/>
    <w:rsid w:val="008214C3"/>
    <w:rsid w:val="00824B73"/>
    <w:rsid w:val="008322F9"/>
    <w:rsid w:val="00837137"/>
    <w:rsid w:val="00840D81"/>
    <w:rsid w:val="008502D8"/>
    <w:rsid w:val="008511B8"/>
    <w:rsid w:val="00880FCC"/>
    <w:rsid w:val="00887A8E"/>
    <w:rsid w:val="00890225"/>
    <w:rsid w:val="00894472"/>
    <w:rsid w:val="008A40FD"/>
    <w:rsid w:val="008A62B0"/>
    <w:rsid w:val="008B32CC"/>
    <w:rsid w:val="008B5DB6"/>
    <w:rsid w:val="008B77F3"/>
    <w:rsid w:val="008D2BB7"/>
    <w:rsid w:val="00900D95"/>
    <w:rsid w:val="00904F04"/>
    <w:rsid w:val="0093146F"/>
    <w:rsid w:val="00932AF0"/>
    <w:rsid w:val="009422CB"/>
    <w:rsid w:val="00944868"/>
    <w:rsid w:val="00950339"/>
    <w:rsid w:val="00952519"/>
    <w:rsid w:val="00990E35"/>
    <w:rsid w:val="0099430E"/>
    <w:rsid w:val="00995FE2"/>
    <w:rsid w:val="009A072A"/>
    <w:rsid w:val="009A2742"/>
    <w:rsid w:val="009B23A7"/>
    <w:rsid w:val="009B450B"/>
    <w:rsid w:val="009B59F8"/>
    <w:rsid w:val="009E5953"/>
    <w:rsid w:val="009E7F04"/>
    <w:rsid w:val="009F6290"/>
    <w:rsid w:val="00A0260A"/>
    <w:rsid w:val="00A02EAC"/>
    <w:rsid w:val="00A15B76"/>
    <w:rsid w:val="00A20973"/>
    <w:rsid w:val="00A30738"/>
    <w:rsid w:val="00A345EC"/>
    <w:rsid w:val="00A54FDF"/>
    <w:rsid w:val="00A55905"/>
    <w:rsid w:val="00A55D80"/>
    <w:rsid w:val="00A56E56"/>
    <w:rsid w:val="00A62056"/>
    <w:rsid w:val="00A664C7"/>
    <w:rsid w:val="00A7182E"/>
    <w:rsid w:val="00A81CE0"/>
    <w:rsid w:val="00A93160"/>
    <w:rsid w:val="00A94286"/>
    <w:rsid w:val="00AA09D4"/>
    <w:rsid w:val="00AA10B1"/>
    <w:rsid w:val="00AB0F56"/>
    <w:rsid w:val="00AB21D3"/>
    <w:rsid w:val="00AB32F1"/>
    <w:rsid w:val="00AC0A0A"/>
    <w:rsid w:val="00AD0319"/>
    <w:rsid w:val="00AE2142"/>
    <w:rsid w:val="00AE552F"/>
    <w:rsid w:val="00AE6DA7"/>
    <w:rsid w:val="00B0185C"/>
    <w:rsid w:val="00B43C45"/>
    <w:rsid w:val="00B50828"/>
    <w:rsid w:val="00B51091"/>
    <w:rsid w:val="00B5609C"/>
    <w:rsid w:val="00B63F74"/>
    <w:rsid w:val="00B75890"/>
    <w:rsid w:val="00B94BC7"/>
    <w:rsid w:val="00BB01D2"/>
    <w:rsid w:val="00BB3D31"/>
    <w:rsid w:val="00BB5A3E"/>
    <w:rsid w:val="00BB6205"/>
    <w:rsid w:val="00BB6C98"/>
    <w:rsid w:val="00BC5896"/>
    <w:rsid w:val="00BD273F"/>
    <w:rsid w:val="00BD3980"/>
    <w:rsid w:val="00BE2F0E"/>
    <w:rsid w:val="00BE7814"/>
    <w:rsid w:val="00BE7BEA"/>
    <w:rsid w:val="00BF2129"/>
    <w:rsid w:val="00C10464"/>
    <w:rsid w:val="00C13C6E"/>
    <w:rsid w:val="00C15E73"/>
    <w:rsid w:val="00C22B15"/>
    <w:rsid w:val="00C33F73"/>
    <w:rsid w:val="00C3583D"/>
    <w:rsid w:val="00C410B4"/>
    <w:rsid w:val="00C42D34"/>
    <w:rsid w:val="00C4534F"/>
    <w:rsid w:val="00C5051D"/>
    <w:rsid w:val="00C70A71"/>
    <w:rsid w:val="00C71175"/>
    <w:rsid w:val="00C74915"/>
    <w:rsid w:val="00C87099"/>
    <w:rsid w:val="00C961F4"/>
    <w:rsid w:val="00CB3899"/>
    <w:rsid w:val="00CB491C"/>
    <w:rsid w:val="00CC4C74"/>
    <w:rsid w:val="00CD2090"/>
    <w:rsid w:val="00CD26E9"/>
    <w:rsid w:val="00CE3DC7"/>
    <w:rsid w:val="00D12ACB"/>
    <w:rsid w:val="00D12FB9"/>
    <w:rsid w:val="00D13367"/>
    <w:rsid w:val="00D14681"/>
    <w:rsid w:val="00D2234F"/>
    <w:rsid w:val="00D22391"/>
    <w:rsid w:val="00D24950"/>
    <w:rsid w:val="00D52732"/>
    <w:rsid w:val="00D6284D"/>
    <w:rsid w:val="00D674DA"/>
    <w:rsid w:val="00D83401"/>
    <w:rsid w:val="00DA0FD2"/>
    <w:rsid w:val="00DA1955"/>
    <w:rsid w:val="00DA22FC"/>
    <w:rsid w:val="00DB0221"/>
    <w:rsid w:val="00DC052F"/>
    <w:rsid w:val="00DC3A83"/>
    <w:rsid w:val="00DC5753"/>
    <w:rsid w:val="00DE1007"/>
    <w:rsid w:val="00DF0CF4"/>
    <w:rsid w:val="00E004A3"/>
    <w:rsid w:val="00E07B79"/>
    <w:rsid w:val="00E12E90"/>
    <w:rsid w:val="00E20DEB"/>
    <w:rsid w:val="00E261C3"/>
    <w:rsid w:val="00E36084"/>
    <w:rsid w:val="00E379A0"/>
    <w:rsid w:val="00E43001"/>
    <w:rsid w:val="00E50E34"/>
    <w:rsid w:val="00E62BC6"/>
    <w:rsid w:val="00E65F7A"/>
    <w:rsid w:val="00E67EC5"/>
    <w:rsid w:val="00E739FB"/>
    <w:rsid w:val="00E76E25"/>
    <w:rsid w:val="00E86326"/>
    <w:rsid w:val="00E9434B"/>
    <w:rsid w:val="00E94517"/>
    <w:rsid w:val="00E9674C"/>
    <w:rsid w:val="00E978F0"/>
    <w:rsid w:val="00EA0A2E"/>
    <w:rsid w:val="00EA50F4"/>
    <w:rsid w:val="00EA6B99"/>
    <w:rsid w:val="00EC04B0"/>
    <w:rsid w:val="00EC2BB8"/>
    <w:rsid w:val="00ED4F4C"/>
    <w:rsid w:val="00ED5773"/>
    <w:rsid w:val="00ED7436"/>
    <w:rsid w:val="00EE3EFD"/>
    <w:rsid w:val="00EF1F77"/>
    <w:rsid w:val="00F00987"/>
    <w:rsid w:val="00F214FA"/>
    <w:rsid w:val="00F230F5"/>
    <w:rsid w:val="00F335AE"/>
    <w:rsid w:val="00F35CBC"/>
    <w:rsid w:val="00F52686"/>
    <w:rsid w:val="00F7167C"/>
    <w:rsid w:val="00F75571"/>
    <w:rsid w:val="00F83F5D"/>
    <w:rsid w:val="00F85C41"/>
    <w:rsid w:val="00F86CD2"/>
    <w:rsid w:val="00F942AD"/>
    <w:rsid w:val="00FA361D"/>
    <w:rsid w:val="00FB0F42"/>
    <w:rsid w:val="00FB52FF"/>
    <w:rsid w:val="00FB5BC2"/>
    <w:rsid w:val="00FE0684"/>
    <w:rsid w:val="00FE306D"/>
    <w:rsid w:val="00FE7A44"/>
    <w:rsid w:val="00FF5AC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1A6C"/>
  <w15:chartTrackingRefBased/>
  <w15:docId w15:val="{8784337D-66D5-4CF2-9624-AC17590A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85C"/>
    <w:pPr>
      <w:ind w:left="720"/>
      <w:contextualSpacing/>
    </w:pPr>
  </w:style>
  <w:style w:type="character" w:customStyle="1" w:styleId="zadanifontodlomka-000009">
    <w:name w:val="zadanifontodlomka-000009"/>
    <w:basedOn w:val="DefaultParagraphFont"/>
    <w:rsid w:val="00B0185C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table" w:styleId="ListTable1Light-Accent3">
    <w:name w:val="List Table 1 Light Accent 3"/>
    <w:basedOn w:val="TableNormal"/>
    <w:uiPriority w:val="46"/>
    <w:rsid w:val="00BF21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AD031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0319"/>
    <w:rPr>
      <w:color w:val="954F72"/>
      <w:u w:val="single"/>
    </w:rPr>
  </w:style>
  <w:style w:type="paragraph" w:customStyle="1" w:styleId="msonormal0">
    <w:name w:val="msonormal"/>
    <w:basedOn w:val="Normal"/>
    <w:rsid w:val="00AD0319"/>
    <w:pPr>
      <w:spacing w:before="100" w:beforeAutospacing="1" w:after="100" w:afterAutospacing="1"/>
    </w:pPr>
    <w:rPr>
      <w:lang w:eastAsia="hr-HR"/>
    </w:rPr>
  </w:style>
  <w:style w:type="paragraph" w:customStyle="1" w:styleId="xl65">
    <w:name w:val="xl65"/>
    <w:basedOn w:val="Normal"/>
    <w:rsid w:val="00AD0319"/>
    <w:pPr>
      <w:spacing w:before="100" w:beforeAutospacing="1" w:after="100" w:afterAutospacing="1"/>
    </w:pPr>
    <w:rPr>
      <w:rFonts w:ascii="Arial" w:hAnsi="Arial" w:cs="Arial"/>
      <w:sz w:val="20"/>
      <w:szCs w:val="20"/>
      <w:lang w:eastAsia="hr-HR"/>
    </w:rPr>
  </w:style>
  <w:style w:type="paragraph" w:customStyle="1" w:styleId="xl66">
    <w:name w:val="xl66"/>
    <w:basedOn w:val="Normal"/>
    <w:rsid w:val="00AD0319"/>
    <w:pPr>
      <w:spacing w:before="100" w:beforeAutospacing="1" w:after="100" w:afterAutospacing="1"/>
    </w:pPr>
    <w:rPr>
      <w:rFonts w:ascii="Arial" w:hAnsi="Arial" w:cs="Arial"/>
      <w:sz w:val="20"/>
      <w:szCs w:val="20"/>
      <w:lang w:eastAsia="hr-HR"/>
    </w:rPr>
  </w:style>
  <w:style w:type="paragraph" w:customStyle="1" w:styleId="xl67">
    <w:name w:val="xl67"/>
    <w:basedOn w:val="Normal"/>
    <w:rsid w:val="00AD0319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hr-HR"/>
    </w:rPr>
  </w:style>
  <w:style w:type="paragraph" w:customStyle="1" w:styleId="xl68">
    <w:name w:val="xl68"/>
    <w:basedOn w:val="Normal"/>
    <w:rsid w:val="00AD0319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eastAsia="hr-HR"/>
    </w:rPr>
  </w:style>
  <w:style w:type="paragraph" w:customStyle="1" w:styleId="xl69">
    <w:name w:val="xl69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hr-HR"/>
    </w:rPr>
  </w:style>
  <w:style w:type="paragraph" w:customStyle="1" w:styleId="xl70">
    <w:name w:val="xl70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hr-HR"/>
    </w:rPr>
  </w:style>
  <w:style w:type="paragraph" w:customStyle="1" w:styleId="xl71">
    <w:name w:val="xl71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eastAsia="hr-HR"/>
    </w:rPr>
  </w:style>
  <w:style w:type="paragraph" w:customStyle="1" w:styleId="xl72">
    <w:name w:val="xl72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hr-HR"/>
    </w:rPr>
  </w:style>
  <w:style w:type="paragraph" w:customStyle="1" w:styleId="xl73">
    <w:name w:val="xl73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eastAsia="hr-HR"/>
    </w:rPr>
  </w:style>
  <w:style w:type="paragraph" w:customStyle="1" w:styleId="xl74">
    <w:name w:val="xl74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hr-HR"/>
    </w:rPr>
  </w:style>
  <w:style w:type="paragraph" w:customStyle="1" w:styleId="xl75">
    <w:name w:val="xl75"/>
    <w:basedOn w:val="Normal"/>
    <w:rsid w:val="00AD0319"/>
    <w:pPr>
      <w:pBdr>
        <w:top w:val="dotted" w:sz="4" w:space="0" w:color="auto"/>
        <w:left w:val="dotted" w:sz="4" w:space="7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20"/>
      <w:szCs w:val="20"/>
      <w:lang w:eastAsia="hr-HR"/>
    </w:rPr>
  </w:style>
  <w:style w:type="paragraph" w:customStyle="1" w:styleId="xl76">
    <w:name w:val="xl76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  <w:lang w:eastAsia="hr-HR"/>
    </w:rPr>
  </w:style>
  <w:style w:type="paragraph" w:customStyle="1" w:styleId="xl77">
    <w:name w:val="xl77"/>
    <w:basedOn w:val="Normal"/>
    <w:rsid w:val="00AD0319"/>
    <w:pPr>
      <w:pBdr>
        <w:top w:val="dotted" w:sz="4" w:space="0" w:color="auto"/>
        <w:left w:val="dotted" w:sz="4" w:space="7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b/>
      <w:bCs/>
      <w:color w:val="000000"/>
      <w:sz w:val="20"/>
      <w:szCs w:val="20"/>
      <w:lang w:eastAsia="hr-HR"/>
    </w:rPr>
  </w:style>
  <w:style w:type="paragraph" w:customStyle="1" w:styleId="xl78">
    <w:name w:val="xl78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0"/>
      <w:szCs w:val="20"/>
      <w:lang w:eastAsia="hr-HR"/>
    </w:rPr>
  </w:style>
  <w:style w:type="paragraph" w:customStyle="1" w:styleId="xl79">
    <w:name w:val="xl79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eastAsia="hr-HR"/>
    </w:rPr>
  </w:style>
  <w:style w:type="paragraph" w:customStyle="1" w:styleId="xl80">
    <w:name w:val="xl80"/>
    <w:basedOn w:val="Normal"/>
    <w:rsid w:val="00AD031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eastAsia="hr-HR"/>
    </w:rPr>
  </w:style>
  <w:style w:type="paragraph" w:customStyle="1" w:styleId="xl82">
    <w:name w:val="xl82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eastAsia="hr-HR"/>
    </w:rPr>
  </w:style>
  <w:style w:type="paragraph" w:customStyle="1" w:styleId="xl83">
    <w:name w:val="xl83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  <w:lang w:eastAsia="hr-HR"/>
    </w:rPr>
  </w:style>
  <w:style w:type="paragraph" w:customStyle="1" w:styleId="xl85">
    <w:name w:val="xl85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C6E0B4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0"/>
      <w:szCs w:val="20"/>
      <w:lang w:eastAsia="hr-HR"/>
    </w:rPr>
  </w:style>
  <w:style w:type="paragraph" w:customStyle="1" w:styleId="xl86">
    <w:name w:val="xl86"/>
    <w:basedOn w:val="Normal"/>
    <w:rsid w:val="00785B7C"/>
    <w:pPr>
      <w:pBdr>
        <w:top w:val="dotted" w:sz="4" w:space="0" w:color="auto"/>
        <w:left w:val="dotted" w:sz="4" w:space="31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firstLineChars="500" w:firstLine="500"/>
    </w:pPr>
    <w:rPr>
      <w:rFonts w:ascii="Arial" w:hAnsi="Arial" w:cs="Arial"/>
      <w:sz w:val="20"/>
      <w:szCs w:val="20"/>
      <w:lang w:eastAsia="hr-HR"/>
    </w:rPr>
  </w:style>
  <w:style w:type="paragraph" w:customStyle="1" w:styleId="xl87">
    <w:name w:val="xl87"/>
    <w:basedOn w:val="Normal"/>
    <w:rsid w:val="00785B7C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BDD7EE"/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785B7C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2CC"/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785B7C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2CC"/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785B7C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2CC"/>
      <w:spacing w:before="100" w:beforeAutospacing="1" w:after="100" w:afterAutospacing="1"/>
    </w:pPr>
    <w:rPr>
      <w:rFonts w:ascii="Arial" w:hAnsi="Arial" w:cs="Arial"/>
      <w:sz w:val="20"/>
      <w:szCs w:val="20"/>
      <w:lang w:eastAsia="hr-HR"/>
    </w:rPr>
  </w:style>
  <w:style w:type="paragraph" w:customStyle="1" w:styleId="xl91">
    <w:name w:val="xl91"/>
    <w:basedOn w:val="Normal"/>
    <w:rsid w:val="00785B7C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2CC"/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B2F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F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2F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FC8"/>
    <w:rPr>
      <w:rFonts w:ascii="Times New Roman" w:eastAsia="Times New Roman" w:hAnsi="Times New Roman" w:cs="Times New Roman"/>
      <w:sz w:val="24"/>
      <w:szCs w:val="24"/>
    </w:rPr>
  </w:style>
  <w:style w:type="character" w:customStyle="1" w:styleId="A14">
    <w:name w:val="A14"/>
    <w:uiPriority w:val="99"/>
    <w:rsid w:val="000F74C6"/>
    <w:rPr>
      <w:rFonts w:cs="TyponineSans Pro Bold"/>
      <w:color w:val="000000"/>
      <w:sz w:val="10"/>
      <w:szCs w:val="10"/>
    </w:rPr>
  </w:style>
  <w:style w:type="character" w:customStyle="1" w:styleId="fontstyle01">
    <w:name w:val="fontstyle01"/>
    <w:basedOn w:val="DefaultParagraphFont"/>
    <w:rsid w:val="0079762F"/>
    <w:rPr>
      <w:rFonts w:ascii="SignaPro-CondBook" w:hAnsi="SignaPro-CondBook" w:hint="default"/>
      <w:b w:val="0"/>
      <w:bCs w:val="0"/>
      <w:i w:val="0"/>
      <w:iCs w:val="0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21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1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B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B9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p-medved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p-medved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58693-E24D-4733-8EBE-297CBD96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3299</Words>
  <Characters>18807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ppmedvednica11@outlook.com</dc:creator>
  <cp:keywords/>
  <dc:description/>
  <cp:lastModifiedBy>Gordana Bakic</cp:lastModifiedBy>
  <cp:revision>4</cp:revision>
  <cp:lastPrinted>2025-03-12T13:02:00Z</cp:lastPrinted>
  <dcterms:created xsi:type="dcterms:W3CDTF">2025-03-14T12:01:00Z</dcterms:created>
  <dcterms:modified xsi:type="dcterms:W3CDTF">2025-03-27T09:51:00Z</dcterms:modified>
</cp:coreProperties>
</file>